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EC" w:rsidRPr="00B936EC" w:rsidRDefault="00B936EC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FF0000"/>
          <w:sz w:val="26"/>
          <w:szCs w:val="26"/>
          <w:lang w:val="en-GB" w:eastAsia="nl-BE"/>
        </w:rPr>
      </w:pPr>
      <w:r w:rsidRPr="00B936EC">
        <w:rPr>
          <w:rFonts w:ascii="DINOT-Bold" w:hAnsi="DINOT-Bold" w:cs="DINOT-Bold"/>
          <w:b/>
          <w:bCs/>
          <w:color w:val="FF0000"/>
          <w:sz w:val="26"/>
          <w:szCs w:val="26"/>
          <w:lang w:val="en-GB" w:eastAsia="nl-BE"/>
        </w:rPr>
        <w:t xml:space="preserve">Cahier des charges </w:t>
      </w:r>
      <w:proofErr w:type="spellStart"/>
      <w:r w:rsidRPr="00B936EC">
        <w:rPr>
          <w:rFonts w:ascii="DINOT-Bold" w:hAnsi="DINOT-Bold" w:cs="DINOT-Bold"/>
          <w:b/>
          <w:bCs/>
          <w:color w:val="FF0000"/>
          <w:sz w:val="26"/>
          <w:szCs w:val="26"/>
          <w:lang w:val="en-GB" w:eastAsia="nl-BE"/>
        </w:rPr>
        <w:t>système</w:t>
      </w:r>
      <w:proofErr w:type="spellEnd"/>
      <w:r w:rsidRPr="00B936EC">
        <w:rPr>
          <w:rFonts w:ascii="DINOT-Bold" w:hAnsi="DINOT-Bold" w:cs="DINOT-Bold"/>
          <w:b/>
          <w:bCs/>
          <w:color w:val="FF0000"/>
          <w:sz w:val="26"/>
          <w:szCs w:val="26"/>
          <w:lang w:val="en-GB" w:eastAsia="nl-BE"/>
        </w:rPr>
        <w:t xml:space="preserve"> Clip-in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I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Système</w:t>
      </w:r>
      <w:proofErr w:type="spellEnd"/>
      <w:r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Système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composé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structure de suspension, d’un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profil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porteur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plafond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clipser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sans joint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d’ombre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sans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intégrés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disponibles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dimensions: 600 x 600 mm et 300 x 1200 mm.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II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Matériaux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fabriqués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0.52 mm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galvanisé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chaud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ayant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couche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zinc de minimum 100g/m²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selon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procédé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Sendzimir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 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satisfait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aux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exigences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matière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sécurité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contre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l’incendie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, c.-à-d. à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classe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A1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selon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NEN 6065 (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comportement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la propagation du feu) et NEN 6066 (production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fumées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cas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feu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matériels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construction),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conformément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au British Standard BS 476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partie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7. </w:t>
      </w:r>
      <w:r w:rsidR="00B936EC"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démontés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d’un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déclipseur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ressort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spécial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ALPHA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fabriqués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partir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matière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synthétique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3 mm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mise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forme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thermiquement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classe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résistance au feu M2.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III Fabrication</w:t>
      </w:r>
      <w:r w:rsidRPr="00B36813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Les bordures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biseautées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des 4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côtés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un angle de 45°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5 mm.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Résultat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: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emboîtement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V entre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du plafond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retrait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munis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d’un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côté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replié</w:t>
      </w:r>
      <w:proofErr w:type="spellEnd"/>
      <w:r w:rsidRPr="00B36813">
        <w:rPr>
          <w:rFonts w:ascii="Calibri" w:hAnsi="Calibri"/>
          <w:color w:val="000000"/>
          <w:sz w:val="20"/>
          <w:rtl/>
          <w:lang w:val="en-GB" w:eastAsia="nl-BE" w:bidi="ar-YE"/>
        </w:rPr>
        <w:t xml:space="preserve"> </w:t>
      </w:r>
      <w:r w:rsidRPr="00B36813">
        <w:rPr>
          <w:rFonts w:ascii="Calibri" w:hAnsi="Calibri" w:cs="Calibri"/>
          <w:color w:val="000000"/>
          <w:sz w:val="20"/>
          <w:lang w:val="en-GB" w:eastAsia="nl-BE" w:bidi="ar-YE"/>
        </w:rPr>
        <w:t>à</w:t>
      </w:r>
      <w:r w:rsidRPr="00B36813">
        <w:rPr>
          <w:rFonts w:ascii="Calibri" w:hAnsi="Calibri"/>
          <w:color w:val="000000"/>
          <w:sz w:val="20"/>
          <w:rtl/>
          <w:lang w:val="en-GB" w:eastAsia="nl-BE" w:bidi="ar-YE"/>
        </w:rPr>
        <w:t xml:space="preserve"> 90°.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Résultat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: un joint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raccord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commun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7 mm.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Cs w:val="24"/>
          <w:lang w:val="en-GB" w:eastAsia="nl-BE"/>
        </w:rPr>
        <w:t xml:space="preserve">IV </w:t>
      </w:r>
      <w:proofErr w:type="spellStart"/>
      <w:r w:rsidRPr="00B36813">
        <w:rPr>
          <w:rFonts w:ascii="DINOT-Bold" w:hAnsi="DINOT-Bold" w:cs="DINOT-Bold"/>
          <w:b/>
          <w:bCs/>
          <w:color w:val="000000"/>
          <w:szCs w:val="24"/>
          <w:lang w:val="en-GB" w:eastAsia="nl-BE"/>
        </w:rPr>
        <w:t>Finition</w:t>
      </w:r>
      <w:proofErr w:type="spellEnd"/>
      <w:r w:rsidRPr="00B36813">
        <w:rPr>
          <w:rFonts w:ascii="DINOT-Bold" w:hAnsi="DINOT-Bold" w:cs="DINOT-Bold"/>
          <w:b/>
          <w:bCs/>
          <w:color w:val="000000"/>
          <w:szCs w:val="24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Ceilux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finis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façon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standard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couleur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argent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métallisé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blanc.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Autres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couleurs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gabarits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disponibles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simple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demande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prépeints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Résultat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: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couche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laque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plus fine et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meilleur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degré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des perforations,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aussi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matériels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moins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sensibles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aux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empreintes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tout genre. De plus,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tant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munis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d’un film facile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enlever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afin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d’éviter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endommagements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garantir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parfaite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lors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la pose. Durant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processus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production,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valeur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couleur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mesurée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selon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ISO 7724-2 et ISO 7224-3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déviation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chromatique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maximale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pouvant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excéder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ΔE=1.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perforés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munis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façon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standard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membrane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acoustique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encollée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V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Gabarits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 de perforation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ind w:left="2832" w:hanging="2832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Gabarit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 xml:space="preserve"> de perforation R10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: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ab/>
        <w:t xml:space="preserve">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ronde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1.5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distance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intermédiaire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2.5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section de passage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libre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6%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b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ord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perforé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100 mm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ind w:left="2832" w:hanging="2832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Gabarit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 xml:space="preserve"> de perforation R: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ab/>
        <w:t xml:space="preserve">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ronse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1.5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dans</w:t>
      </w:r>
      <w:proofErr w:type="spellEnd"/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un motif diagonal 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distance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intermédiare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2.5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section de passage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libre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11%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b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ord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perforé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10 mm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Gabarit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 xml:space="preserve"> de perforation Rd: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        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ronde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1.5 mm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un motif diagonal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 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distance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intermédiare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2.5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 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section 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de passage </w:t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libre</w:t>
      </w:r>
      <w:proofErr w:type="spellEnd"/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22%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 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ab/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b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ord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perforé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="002D1C27">
        <w:rPr>
          <w:rFonts w:ascii="DINOT-Regular" w:hAnsi="DINOT-Regular" w:cs="DINOT-Regular"/>
          <w:color w:val="000000"/>
          <w:sz w:val="20"/>
          <w:lang w:val="en-GB" w:eastAsia="nl-BE"/>
        </w:rPr>
        <w:t xml:space="preserve">de 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5 mm</w:t>
      </w:r>
    </w:p>
    <w:p w:rsidR="00B36813" w:rsidRDefault="00B36813" w:rsidP="00EB51E4">
      <w:pPr>
        <w:autoSpaceDE w:val="0"/>
        <w:autoSpaceDN w:val="0"/>
        <w:adjustRightInd w:val="0"/>
        <w:spacing w:after="200" w:line="276" w:lineRule="auto"/>
        <w:ind w:left="2832" w:hanging="2832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Gabarit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 xml:space="preserve"> de perforation Q: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ab/>
        <w:t xml:space="preserve">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carrée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="00EB51E4">
        <w:rPr>
          <w:rFonts w:ascii="DINOT-Regular" w:hAnsi="DINOT-Regular" w:cs="DINOT-Regular"/>
          <w:color w:val="000000"/>
          <w:sz w:val="20"/>
          <w:lang w:val="en-GB" w:eastAsia="nl-BE"/>
        </w:rPr>
        <w:t>4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distance </w:t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intermédiaire</w:t>
      </w:r>
      <w:proofErr w:type="spellEnd"/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="00EB51E4">
        <w:rPr>
          <w:rFonts w:ascii="DINOT-Regular" w:hAnsi="DINOT-Regular" w:cs="DINOT-Regular"/>
          <w:color w:val="000000"/>
          <w:sz w:val="20"/>
          <w:lang w:val="en-GB" w:eastAsia="nl-BE"/>
        </w:rPr>
        <w:t>5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t xml:space="preserve"> mm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section de passage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libre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30%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b</w:t>
      </w:r>
      <w:r w:rsidR="002D1C27">
        <w:rPr>
          <w:rFonts w:ascii="DINOT-Regular" w:hAnsi="DINOT-Regular" w:cs="DINOT-Regular"/>
          <w:color w:val="000000"/>
          <w:sz w:val="20"/>
          <w:lang w:val="en-GB" w:eastAsia="nl-BE"/>
        </w:rPr>
        <w:t>ord</w:t>
      </w:r>
      <w:proofErr w:type="spellEnd"/>
      <w:r w:rsidR="002D1C27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non-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perforé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="002D1C27">
        <w:rPr>
          <w:rFonts w:ascii="DINOT-Regular" w:hAnsi="DINOT-Regular" w:cs="DINOT-Regular"/>
          <w:color w:val="000000"/>
          <w:sz w:val="20"/>
          <w:lang w:val="en-GB" w:eastAsia="nl-BE"/>
        </w:rPr>
        <w:t xml:space="preserve">de </w:t>
      </w:r>
      <w:r w:rsidR="00EB51E4">
        <w:rPr>
          <w:rFonts w:ascii="DINOT-Regular" w:hAnsi="DINOT-Regular" w:cs="DINOT-Regular"/>
          <w:color w:val="000000"/>
          <w:sz w:val="20"/>
          <w:lang w:val="en-GB" w:eastAsia="nl-BE"/>
        </w:rPr>
        <w:t>2.5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mm</w:t>
      </w:r>
    </w:p>
    <w:p w:rsidR="00B36813" w:rsidRDefault="00B36813" w:rsidP="00B36813">
      <w:pPr>
        <w:autoSpaceDE w:val="0"/>
        <w:autoSpaceDN w:val="0"/>
        <w:adjustRightInd w:val="0"/>
        <w:spacing w:after="200" w:line="276" w:lineRule="auto"/>
        <w:ind w:left="2832" w:hanging="2832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ind w:left="2832" w:hanging="2832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</w:p>
    <w:p w:rsidR="00712EEB" w:rsidRDefault="00B36813" w:rsidP="00712EEB">
      <w:pPr>
        <w:autoSpaceDE w:val="0"/>
        <w:autoSpaceDN w:val="0"/>
        <w:adjustRightInd w:val="0"/>
        <w:spacing w:after="200" w:line="276" w:lineRule="auto"/>
        <w:ind w:left="2835" w:hanging="2835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Panneau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 xml:space="preserve"> Alpha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:  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ab/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ALPHA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fabriqués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partir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matière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synthétique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3 mm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mise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forme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thermiquement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.</w:t>
      </w:r>
      <w:r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D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isponib</w:t>
      </w:r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>le</w:t>
      </w:r>
      <w:proofErr w:type="spellEnd"/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3 versions </w:t>
      </w:r>
      <w:proofErr w:type="spellStart"/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>différentes</w:t>
      </w:r>
      <w:proofErr w:type="spellEnd"/>
      <w:r w:rsidR="00712EEB">
        <w:rPr>
          <w:rFonts w:ascii="DINOT-Regular" w:hAnsi="DINOT-Regular" w:cs="DINOT-Regular"/>
          <w:color w:val="000000"/>
          <w:sz w:val="20"/>
          <w:lang w:val="en-GB" w:eastAsia="nl-BE"/>
        </w:rPr>
        <w:t>:</w:t>
      </w:r>
    </w:p>
    <w:p w:rsidR="00712EEB" w:rsidRDefault="00B36813" w:rsidP="00712EE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712EEB">
        <w:rPr>
          <w:rFonts w:ascii="DINOT-Regular" w:hAnsi="DINOT-Regular" w:cs="DINOT-Regular"/>
          <w:color w:val="000000"/>
          <w:sz w:val="20"/>
          <w:lang w:val="en-GB" w:eastAsia="nl-BE"/>
        </w:rPr>
        <w:t>H (module de coin)</w:t>
      </w:r>
    </w:p>
    <w:p w:rsidR="00712EEB" w:rsidRDefault="00B36813" w:rsidP="00712EE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712EEB">
        <w:rPr>
          <w:rFonts w:ascii="DINOT-Regular" w:hAnsi="DINOT-Regular" w:cs="DINOT-Regular"/>
          <w:color w:val="000000"/>
          <w:sz w:val="20"/>
          <w:lang w:val="en-GB" w:eastAsia="nl-BE"/>
        </w:rPr>
        <w:t>M (module de centre)</w:t>
      </w:r>
    </w:p>
    <w:p w:rsidR="00B36813" w:rsidRPr="00712EEB" w:rsidRDefault="00B36813" w:rsidP="00712EE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r w:rsidRPr="00712EEB">
        <w:rPr>
          <w:rFonts w:ascii="DINOT-Regular" w:hAnsi="DINOT-Regular" w:cs="DINOT-Regular"/>
          <w:color w:val="000000"/>
          <w:sz w:val="20"/>
          <w:lang w:val="en-GB" w:eastAsia="nl-BE"/>
        </w:rPr>
        <w:t xml:space="preserve">L (module de </w:t>
      </w:r>
      <w:proofErr w:type="spellStart"/>
      <w:r w:rsidRPr="00712EEB">
        <w:rPr>
          <w:rFonts w:ascii="DINOT-Regular" w:hAnsi="DINOT-Regular" w:cs="DINOT-Regular"/>
          <w:color w:val="000000"/>
          <w:sz w:val="20"/>
          <w:lang w:val="en-GB" w:eastAsia="nl-BE"/>
        </w:rPr>
        <w:t>bord</w:t>
      </w:r>
      <w:proofErr w:type="spellEnd"/>
      <w:r w:rsidRPr="00712EEB">
        <w:rPr>
          <w:rFonts w:ascii="DINOT-Regular" w:hAnsi="DINOT-Regular" w:cs="DINOT-Regular"/>
          <w:color w:val="000000"/>
          <w:sz w:val="20"/>
          <w:lang w:val="en-GB" w:eastAsia="nl-BE"/>
        </w:rPr>
        <w:t>)</w:t>
      </w:r>
    </w:p>
    <w:p w:rsidR="00B36813" w:rsidRPr="00B36813" w:rsidRDefault="00B36813" w:rsidP="00B36813">
      <w:pPr>
        <w:autoSpaceDE w:val="0"/>
        <w:autoSpaceDN w:val="0"/>
        <w:adjustRightInd w:val="0"/>
        <w:spacing w:line="288" w:lineRule="auto"/>
        <w:textAlignment w:val="center"/>
        <w:rPr>
          <w:rFonts w:ascii="DINOT-Regular" w:hAnsi="DINOT-Regular" w:cs="DINOT-Regular"/>
          <w:color w:val="000000"/>
          <w:sz w:val="20"/>
          <w:lang w:val="en-US" w:eastAsia="nl-BE"/>
        </w:rPr>
      </w:pP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fonction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son motif de perforation,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type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dalle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obtiendra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autre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résultat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acoustique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été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testées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chambre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acoustique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conformément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norme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ISO 354-1985.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Autres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gabarits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perforation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toujours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disponibles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demande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US" w:eastAsia="nl-BE"/>
        </w:rPr>
      </w:pP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VI Construction de suspension et structure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porteuse</w:t>
      </w:r>
      <w:proofErr w:type="spellEnd"/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Bold" w:hAnsi="DINOT-Bold" w:cs="DINOT-Bold"/>
          <w:b/>
          <w:bCs/>
          <w:color w:val="000000"/>
          <w:sz w:val="20"/>
          <w:lang w:val="en-US" w:eastAsia="nl-BE"/>
        </w:rPr>
        <w:t>Suspension simple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montés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clip-in au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moyen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cames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placées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fois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2 à 2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côtés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panneaux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fabriqué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0.6 mm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laminé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froid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galvanisé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chaud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longueur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standard de 4 m. 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peuvent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reliés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entre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moyen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d’un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liaison à commander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séparément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suspendu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d’un set de suspension muni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ouverture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supérieure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barres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suspension de 3 m (ø 4 mm). 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-ci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coupées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pliées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chantier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suspendues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tiges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suspension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ressort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réglage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galvanisé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L’entredistance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entre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point de suspension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s’élève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maximum à 1200 mm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dépend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des conditions et des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normes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vigueur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.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Bold" w:hAnsi="DINOT-Bold" w:cs="DINOT-Bold"/>
          <w:b/>
          <w:bCs/>
          <w:color w:val="000000"/>
          <w:sz w:val="20"/>
          <w:lang w:val="en-US" w:eastAsia="nl-BE"/>
        </w:rPr>
        <w:t>Suspension double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Afin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simplifier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l’installation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peut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opter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pour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double suspension. La structure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primaire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suspendue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barres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suspension de 4 m (ø 4 mm) et d’un set de suspension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ressort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réglage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intégré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(art. 45038).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Sous la structure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primaire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, on fixe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clip-in via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un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set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d’étriers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(art. 45037). La distance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maximale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avec la structure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supérieure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s’élève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à 1500 mm.</w:t>
      </w:r>
    </w:p>
    <w:p w:rsidR="00B36813" w:rsidRPr="00B36813" w:rsidRDefault="00B36813" w:rsidP="00B936EC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VII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Finition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périphérique</w:t>
      </w:r>
      <w:proofErr w:type="spellEnd"/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raccords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muraux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peuvent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finis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de:  -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0.8 mm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bords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droits. La livraison du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s’accompagne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option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gâchettes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qui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veillent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dalle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bien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appliquée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périphérique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 </w:t>
      </w:r>
      <w:r w:rsidR="00B936EC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- </w:t>
      </w:r>
      <w:proofErr w:type="spellStart"/>
      <w:r w:rsidR="00B936EC">
        <w:rPr>
          <w:rFonts w:ascii="DINOT-Regular" w:hAnsi="DINOT-Regular" w:cs="DINOT-Regular"/>
          <w:color w:val="000000"/>
          <w:sz w:val="20"/>
          <w:lang w:val="en-US" w:eastAsia="nl-BE"/>
        </w:rPr>
        <w:t>P</w:t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0.8 mm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rebords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 -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acier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0.8 mm avec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porte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-à-faux bas. 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muni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cames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qui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peuvent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rivés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Il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convient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d’appliquer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côté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tête,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petits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lesquels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alors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rivé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C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spécial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périphérique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toujours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livrés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par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longueur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3 m.</w:t>
      </w:r>
      <w:r w:rsidR="00B936EC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- Pour les faux-plafond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îlot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l’utilisation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d’un demi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profil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conceillée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pour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finition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laterale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suspendu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l’aide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d’un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serreur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special qui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suspendu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tiges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visé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plafond.</w:t>
      </w:r>
    </w:p>
    <w:p w:rsidR="00B936EC" w:rsidRPr="00B936EC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VIII Modules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d’éclairage</w:t>
      </w:r>
      <w:proofErr w:type="spellEnd"/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chaque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fois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munis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dalle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repères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tracés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laser (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teinte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fabrication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similaires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)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sorte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l’armature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s’accorde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parfaitement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plafond.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cette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manière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intégré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 plafond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constitue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un tout concordant. </w:t>
      </w:r>
      <w:r w:rsidR="00B936EC">
        <w:rPr>
          <w:rFonts w:ascii="DINOT-Regular" w:hAnsi="DINOT-Regular" w:cs="DINOT-Regular"/>
          <w:color w:val="000000"/>
          <w:sz w:val="20"/>
          <w:lang w:val="en-US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conçus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selon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normes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européennes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EN 60598. Les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toujours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précâblés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longueur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fil de 1.8 mm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munis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fiche.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cette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manière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il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ne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reste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plus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l’installateur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qu’à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brancher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la fiche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prises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courant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montées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préalablement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(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option avec fiche Wieland).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pendent via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pontage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réglable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la structure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porteuse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Ce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afin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d’éviter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l’affaissement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.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les modules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d’éclairage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montées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r w:rsidRPr="00B36813">
        <w:rPr>
          <w:rFonts w:ascii="DINOT-Regular" w:hAnsi="DINOT-Regular"/>
          <w:caps/>
          <w:color w:val="000000"/>
          <w:sz w:val="20"/>
          <w:rtl/>
          <w:lang w:val="en-GB" w:eastAsia="nl-BE" w:bidi="ar-YE"/>
        </w:rPr>
        <w:t>«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trimless</w:t>
      </w:r>
      <w:proofErr w:type="spellEnd"/>
      <w:r w:rsidRPr="00B36813">
        <w:rPr>
          <w:rFonts w:ascii="DINOT-Regular" w:hAnsi="DINOT-Regular"/>
          <w:caps/>
          <w:color w:val="000000"/>
          <w:sz w:val="20"/>
          <w:rtl/>
          <w:lang w:val="en-GB" w:eastAsia="nl-BE" w:bidi="ar-YE"/>
        </w:rPr>
        <w:t>»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dans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le plafond.</w:t>
      </w:r>
    </w:p>
    <w:p w:rsidR="00B36813" w:rsidRPr="00B36813" w:rsidRDefault="00B36813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lastRenderedPageBreak/>
        <w:t xml:space="preserve">IX </w:t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Dalle</w:t>
      </w:r>
      <w:proofErr w:type="spellEnd"/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 xml:space="preserve"> de ventilation</w:t>
      </w:r>
      <w:r w:rsidR="00712EEB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Ceilux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peut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offrir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 types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differents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diffuseur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tourbillon.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Ventilo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ventilo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donne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la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possibilté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réglage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par 12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24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déflecteurs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forme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cercle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.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br/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option nous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pouvons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fournir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un pl</w:t>
      </w:r>
      <w:r w:rsidR="00AF67E7">
        <w:rPr>
          <w:rFonts w:ascii="DINOT-Regular" w:hAnsi="DINOT-Regular" w:cs="DINOT-Regular"/>
          <w:color w:val="000000"/>
          <w:sz w:val="20"/>
          <w:lang w:val="en-GB" w:eastAsia="nl-BE"/>
        </w:rPr>
        <w:t>e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num. Le plenum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peut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vous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fourni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avec</w:t>
      </w:r>
      <w:r w:rsidR="00DA7FA2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DA7FA2">
        <w:rPr>
          <w:rFonts w:ascii="DINOT-Regular" w:hAnsi="DINOT-Regular" w:cs="DINOT-Regular"/>
          <w:color w:val="000000"/>
          <w:sz w:val="20"/>
          <w:lang w:val="en-GB" w:eastAsia="nl-BE"/>
        </w:rPr>
        <w:t>une</w:t>
      </w:r>
      <w:proofErr w:type="spellEnd"/>
      <w:r w:rsidR="00DA7FA2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connection </w:t>
      </w:r>
      <w:proofErr w:type="spellStart"/>
      <w:r w:rsidR="00DA7FA2">
        <w:rPr>
          <w:rFonts w:ascii="DINOT-Regular" w:hAnsi="DINOT-Regular" w:cs="DINOT-Regular"/>
          <w:color w:val="000000"/>
          <w:sz w:val="20"/>
          <w:lang w:val="en-GB" w:eastAsia="nl-BE"/>
        </w:rPr>
        <w:t>latérale</w:t>
      </w:r>
      <w:proofErr w:type="spellEnd"/>
      <w:r w:rsidR="00DA7FA2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160 </w:t>
      </w:r>
      <w:bookmarkStart w:id="0" w:name="_GoBack"/>
      <w:bookmarkEnd w:id="0"/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200mm.</w:t>
      </w:r>
      <w:r w:rsidR="00B936EC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Bold" w:hAnsi="DINOT-Bold" w:cs="DINOT-Bold"/>
          <w:b/>
          <w:bCs/>
          <w:color w:val="000000"/>
          <w:sz w:val="20"/>
          <w:lang w:val="en-GB" w:eastAsia="nl-BE"/>
        </w:rPr>
        <w:t>Nozzle</w:t>
      </w:r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br/>
        <w:t xml:space="preserve">La grille Nozzle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disponible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avec 36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40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diffuseurs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reglable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peut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aussi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livrée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avec le plenum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pourvu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d’une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connection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latérale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160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200mm.</w:t>
      </w:r>
    </w:p>
    <w:p w:rsidR="00B36813" w:rsidRPr="00B36813" w:rsidRDefault="000D00E7" w:rsidP="00B36813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GB" w:eastAsia="nl-BE"/>
        </w:rPr>
      </w:pP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N’hesitez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pas à nous </w:t>
      </w:r>
      <w:proofErr w:type="spellStart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>contacter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>si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>vous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2D1C27">
        <w:rPr>
          <w:rFonts w:ascii="DINOT-Regular" w:hAnsi="DINOT-Regular" w:cs="DINOT-Regular"/>
          <w:color w:val="000000"/>
          <w:sz w:val="20"/>
          <w:lang w:val="en-GB" w:eastAsia="nl-BE"/>
        </w:rPr>
        <w:t>souhaitez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de plus </w:t>
      </w:r>
      <w:proofErr w:type="spellStart"/>
      <w:r>
        <w:rPr>
          <w:rFonts w:ascii="DINOT-Regular" w:hAnsi="DINOT-Regular" w:cs="DINOT-Regular"/>
          <w:color w:val="000000"/>
          <w:sz w:val="20"/>
          <w:lang w:val="en-GB" w:eastAsia="nl-BE"/>
        </w:rPr>
        <w:t>a</w:t>
      </w:r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>mples</w:t>
      </w:r>
      <w:proofErr w:type="spellEnd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 xml:space="preserve"> </w:t>
      </w:r>
      <w:proofErr w:type="spellStart"/>
      <w:r w:rsidR="00B36813" w:rsidRPr="00B36813">
        <w:rPr>
          <w:rFonts w:ascii="DINOT-Regular" w:hAnsi="DINOT-Regular" w:cs="DINOT-Regular"/>
          <w:color w:val="000000"/>
          <w:sz w:val="20"/>
          <w:lang w:val="en-GB" w:eastAsia="nl-BE"/>
        </w:rPr>
        <w:t>informations</w:t>
      </w:r>
      <w:proofErr w:type="spellEnd"/>
    </w:p>
    <w:p w:rsidR="00B36813" w:rsidRPr="00B36813" w:rsidRDefault="00B36813" w:rsidP="00B936EC">
      <w:pPr>
        <w:autoSpaceDE w:val="0"/>
        <w:autoSpaceDN w:val="0"/>
        <w:adjustRightInd w:val="0"/>
        <w:spacing w:after="200" w:line="276" w:lineRule="auto"/>
        <w:textAlignment w:val="center"/>
        <w:rPr>
          <w:rFonts w:ascii="DINOT-Regular" w:hAnsi="DINOT-Regular" w:cs="DINOT-Regular"/>
          <w:color w:val="000000"/>
          <w:sz w:val="20"/>
          <w:lang w:val="en-US" w:eastAsia="nl-BE"/>
        </w:rPr>
      </w:pPr>
      <w:r w:rsidRPr="00B36813">
        <w:rPr>
          <w:rFonts w:ascii="DINOT-Bold" w:hAnsi="DINOT-Bold" w:cs="DINOT-Bold"/>
          <w:b/>
          <w:bCs/>
          <w:color w:val="000000"/>
          <w:sz w:val="26"/>
          <w:szCs w:val="26"/>
          <w:lang w:val="en-GB" w:eastAsia="nl-BE"/>
        </w:rPr>
        <w:t>X Installation</w:t>
      </w:r>
      <w:r w:rsidR="00B936EC">
        <w:rPr>
          <w:rFonts w:ascii="DINOT-Bold" w:hAnsi="DINOT-Bold" w:cs="DINOT-Bold"/>
          <w:b/>
          <w:bCs/>
          <w:color w:val="000000"/>
          <w:sz w:val="22"/>
          <w:szCs w:val="22"/>
          <w:lang w:val="en-GB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Le plafond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doit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être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installé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conformité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avec DIN 18168. L’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acheteur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et/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l’installateur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doit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veiller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que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produits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Ceilux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soient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posés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fixés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selon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les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règles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l’art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conformément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aux instructions et aux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recommandations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du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vendeur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telles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qu’elles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ressortent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notamment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du cahier des charges. Ce cahier des charges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sensé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connu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ou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fourni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la première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demande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. </w:t>
      </w:r>
      <w:r w:rsidR="00B936EC">
        <w:rPr>
          <w:rFonts w:ascii="DINOT-Regular" w:hAnsi="DINOT-Regular" w:cs="DINOT-Regular"/>
          <w:color w:val="000000"/>
          <w:sz w:val="20"/>
          <w:lang w:val="en-US" w:eastAsia="nl-BE"/>
        </w:rPr>
        <w:br/>
      </w:r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Si des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exigences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spécificiques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sont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définies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en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matière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fixation, de résistance au feu, etc... le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vendeur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/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l’installateur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tenu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demander un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conseil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technique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préalablement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et par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écrit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Ceilux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, à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défaut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duquel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Ceilux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est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dégagée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de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toute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responsabilité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 xml:space="preserve"> </w:t>
      </w:r>
      <w:proofErr w:type="spellStart"/>
      <w:r w:rsidRPr="00B36813">
        <w:rPr>
          <w:rFonts w:ascii="DINOT-Regular" w:hAnsi="DINOT-Regular" w:cs="DINOT-Regular"/>
          <w:color w:val="000000"/>
          <w:sz w:val="20"/>
          <w:lang w:val="en-GB" w:eastAsia="nl-BE" w:bidi="ar-YE"/>
        </w:rPr>
        <w:t>éventuelle</w:t>
      </w:r>
      <w:proofErr w:type="spellEnd"/>
      <w:r w:rsidRPr="00B36813">
        <w:rPr>
          <w:rFonts w:ascii="DINOT-Regular" w:hAnsi="DINOT-Regular" w:cs="DINOT-Regular"/>
          <w:color w:val="000000"/>
          <w:sz w:val="20"/>
          <w:lang w:val="en-US" w:eastAsia="nl-BE"/>
        </w:rPr>
        <w:t>.</w:t>
      </w:r>
    </w:p>
    <w:p w:rsidR="007D59CB" w:rsidRPr="00B36813" w:rsidRDefault="007D59CB" w:rsidP="00B36813"/>
    <w:sectPr w:rsidR="007D59CB" w:rsidRPr="00B36813" w:rsidSect="00165DCA">
      <w:headerReference w:type="default" r:id="rId7"/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EC" w:rsidRDefault="00B936EC" w:rsidP="00B936EC">
      <w:r>
        <w:separator/>
      </w:r>
    </w:p>
  </w:endnote>
  <w:endnote w:type="continuationSeparator" w:id="0">
    <w:p w:rsidR="00B936EC" w:rsidRDefault="00B936EC" w:rsidP="00B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OT-Bold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2010504030101020104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EC" w:rsidRDefault="00B936EC" w:rsidP="00B936EC">
      <w:r>
        <w:separator/>
      </w:r>
    </w:p>
  </w:footnote>
  <w:footnote w:type="continuationSeparator" w:id="0">
    <w:p w:rsidR="00B936EC" w:rsidRDefault="00B936EC" w:rsidP="00B9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EC" w:rsidRDefault="00B936E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-354053</wp:posOffset>
          </wp:positionV>
          <wp:extent cx="809625" cy="51435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2124"/>
    <w:multiLevelType w:val="hybridMultilevel"/>
    <w:tmpl w:val="329879C0"/>
    <w:lvl w:ilvl="0" w:tplc="36548AE6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Verdana" w:eastAsia="Verdan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">
    <w:nsid w:val="2CAC6D82"/>
    <w:multiLevelType w:val="hybridMultilevel"/>
    <w:tmpl w:val="E2240656"/>
    <w:lvl w:ilvl="0" w:tplc="081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6E742E06"/>
    <w:multiLevelType w:val="hybridMultilevel"/>
    <w:tmpl w:val="9BA8F5B6"/>
    <w:lvl w:ilvl="0" w:tplc="0813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9"/>
    <w:rsid w:val="000367A0"/>
    <w:rsid w:val="000D00E7"/>
    <w:rsid w:val="001B311B"/>
    <w:rsid w:val="00231DCB"/>
    <w:rsid w:val="002359F0"/>
    <w:rsid w:val="002D1C27"/>
    <w:rsid w:val="002E26C3"/>
    <w:rsid w:val="0044023C"/>
    <w:rsid w:val="004A4EC7"/>
    <w:rsid w:val="006B66FD"/>
    <w:rsid w:val="006C2F40"/>
    <w:rsid w:val="00712EEB"/>
    <w:rsid w:val="007A3B99"/>
    <w:rsid w:val="007D59CB"/>
    <w:rsid w:val="008D14E2"/>
    <w:rsid w:val="00A42DEE"/>
    <w:rsid w:val="00A93353"/>
    <w:rsid w:val="00AC257E"/>
    <w:rsid w:val="00AF67E7"/>
    <w:rsid w:val="00B121AD"/>
    <w:rsid w:val="00B36813"/>
    <w:rsid w:val="00B936EC"/>
    <w:rsid w:val="00BD50B1"/>
    <w:rsid w:val="00C21D99"/>
    <w:rsid w:val="00D870BB"/>
    <w:rsid w:val="00DA7FA2"/>
    <w:rsid w:val="00E357D4"/>
    <w:rsid w:val="00E86615"/>
    <w:rsid w:val="00EB51E4"/>
    <w:rsid w:val="00F1784A"/>
    <w:rsid w:val="00F86F6C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27FC94D-FB9A-4B94-8332-409F232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A4EC7"/>
    <w:pPr>
      <w:shd w:val="clear" w:color="auto" w:fill="000080"/>
    </w:pPr>
    <w:rPr>
      <w:rFonts w:ascii="Tahoma" w:hAnsi="Tahoma" w:cs="Tahoma"/>
      <w:sz w:val="20"/>
    </w:rPr>
  </w:style>
  <w:style w:type="paragraph" w:styleId="Ballontekst">
    <w:name w:val="Balloon Text"/>
    <w:basedOn w:val="Standaard"/>
    <w:link w:val="BallontekstChar"/>
    <w:rsid w:val="006C2F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C2F40"/>
    <w:rPr>
      <w:rFonts w:ascii="Segoe UI" w:hAnsi="Segoe UI" w:cs="Segoe UI"/>
      <w:sz w:val="18"/>
      <w:szCs w:val="18"/>
      <w:lang w:val="fr-FR" w:eastAsia="nl-NL"/>
    </w:rPr>
  </w:style>
  <w:style w:type="paragraph" w:customStyle="1" w:styleId="Basisalinea">
    <w:name w:val="[Basisalinea]"/>
    <w:basedOn w:val="Standaard"/>
    <w:uiPriority w:val="99"/>
    <w:rsid w:val="00B368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 w:eastAsia="nl-BE"/>
    </w:rPr>
  </w:style>
  <w:style w:type="character" w:customStyle="1" w:styleId="A3">
    <w:name w:val="A3"/>
    <w:uiPriority w:val="99"/>
    <w:rsid w:val="00B36813"/>
    <w:rPr>
      <w:color w:val="000000"/>
      <w:w w:val="1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B36813"/>
    <w:pPr>
      <w:ind w:left="720"/>
      <w:contextualSpacing/>
    </w:pPr>
  </w:style>
  <w:style w:type="paragraph" w:styleId="Koptekst">
    <w:name w:val="header"/>
    <w:basedOn w:val="Standaard"/>
    <w:link w:val="KoptekstChar"/>
    <w:rsid w:val="00B936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936EC"/>
    <w:rPr>
      <w:sz w:val="24"/>
      <w:lang w:val="fr-FR" w:eastAsia="nl-NL"/>
    </w:rPr>
  </w:style>
  <w:style w:type="paragraph" w:styleId="Voettekst">
    <w:name w:val="footer"/>
    <w:basedOn w:val="Standaard"/>
    <w:link w:val="VoettekstChar"/>
    <w:rsid w:val="00B936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936EC"/>
    <w:rPr>
      <w:sz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LASTENBOEK CLIP-IN SYSTEEM</vt:lpstr>
    </vt:vector>
  </TitlesOfParts>
  <Company>Point X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 CLIP-IN SYSTEEM</dc:title>
  <dc:subject/>
  <dc:creator>Laurence</dc:creator>
  <cp:keywords/>
  <cp:lastModifiedBy>Femke</cp:lastModifiedBy>
  <cp:revision>12</cp:revision>
  <cp:lastPrinted>2014-11-27T08:25:00Z</cp:lastPrinted>
  <dcterms:created xsi:type="dcterms:W3CDTF">2014-11-26T17:05:00Z</dcterms:created>
  <dcterms:modified xsi:type="dcterms:W3CDTF">2015-01-05T14:08:00Z</dcterms:modified>
</cp:coreProperties>
</file>