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D376" w14:textId="5F9C4D02" w:rsidR="00422395" w:rsidRPr="00D306EA" w:rsidRDefault="00422395" w:rsidP="00675958">
      <w:pPr>
        <w:rPr>
          <w:rFonts w:ascii="DINOT-Regular" w:hAnsi="DINOT-Regular"/>
          <w:b/>
          <w:sz w:val="20"/>
        </w:rPr>
      </w:pPr>
    </w:p>
    <w:p w14:paraId="3AA2D377" w14:textId="77777777" w:rsidR="00A57B8D" w:rsidRPr="00D306EA" w:rsidRDefault="00ED5592" w:rsidP="00675958">
      <w:pPr>
        <w:rPr>
          <w:rFonts w:ascii="DINOT-Regular" w:hAnsi="DINOT-Regular"/>
          <w:sz w:val="20"/>
        </w:rPr>
      </w:pPr>
      <w:r w:rsidRPr="00156376">
        <w:rPr>
          <w:rFonts w:ascii="DINOT-Regular" w:hAnsi="DINOT-Regular"/>
          <w:b/>
        </w:rPr>
        <w:t>I Système</w:t>
      </w:r>
      <w:r w:rsidRPr="00D306EA">
        <w:rPr>
          <w:rFonts w:ascii="DINOT-Regular" w:hAnsi="DINOT-Regular"/>
          <w:b/>
          <w:sz w:val="20"/>
        </w:rPr>
        <w:cr/>
      </w:r>
      <w:r w:rsidRPr="00D306EA">
        <w:rPr>
          <w:rFonts w:ascii="DINOT-Regular" w:hAnsi="DINOT-Regular"/>
          <w:sz w:val="20"/>
        </w:rPr>
        <w:t>Le système de plafond est composé de</w:t>
      </w:r>
      <w:r w:rsidRPr="00D306EA">
        <w:rPr>
          <w:rFonts w:ascii="DINOT-Regular" w:hAnsi="DINOT-Regular"/>
          <w:b/>
          <w:sz w:val="20"/>
        </w:rPr>
        <w:t xml:space="preserve"> </w:t>
      </w:r>
      <w:r w:rsidRPr="00D306EA">
        <w:rPr>
          <w:rFonts w:ascii="DINOT-Regular" w:hAnsi="DINOT-Regular"/>
          <w:sz w:val="20"/>
        </w:rPr>
        <w:t>profilés encastrés visibles</w:t>
      </w:r>
      <w:r w:rsidRPr="00D306EA">
        <w:rPr>
          <w:rFonts w:ascii="DINOT-Regular" w:hAnsi="DINOT-Regular"/>
          <w:b/>
          <w:sz w:val="20"/>
        </w:rPr>
        <w:t xml:space="preserve"> </w:t>
      </w:r>
      <w:r w:rsidRPr="00D306EA">
        <w:rPr>
          <w:rFonts w:ascii="DINOT-Regular" w:hAnsi="DINOT-Regular"/>
          <w:sz w:val="20"/>
        </w:rPr>
        <w:t xml:space="preserve">et de panneaux de plafond amovibles avec ou sans modules d'éclairage intégrés. </w:t>
      </w:r>
    </w:p>
    <w:p w14:paraId="3AA2D378" w14:textId="77777777" w:rsidR="00A57B8D" w:rsidRPr="00D306EA" w:rsidRDefault="009F4CBF" w:rsidP="00675958">
      <w:pPr>
        <w:rPr>
          <w:rFonts w:ascii="DINOT-Regular" w:hAnsi="DINOT-Regular"/>
          <w:sz w:val="20"/>
        </w:rPr>
      </w:pPr>
      <w:r w:rsidRPr="00D306EA">
        <w:rPr>
          <w:rFonts w:ascii="DINOT-Regular" w:hAnsi="DINOT-Regular"/>
          <w:sz w:val="20"/>
        </w:rPr>
        <w:t xml:space="preserve">Les profils </w:t>
      </w:r>
      <w:proofErr w:type="spellStart"/>
      <w:r w:rsidRPr="00D306EA">
        <w:rPr>
          <w:rFonts w:ascii="DINOT-Regular" w:hAnsi="DINOT-Regular"/>
          <w:sz w:val="20"/>
        </w:rPr>
        <w:t>C</w:t>
      </w:r>
      <w:r w:rsidR="00A57B8D" w:rsidRPr="00D306EA">
        <w:rPr>
          <w:rFonts w:ascii="DINOT-Regular" w:hAnsi="DINOT-Regular"/>
          <w:sz w:val="20"/>
        </w:rPr>
        <w:t>olorline</w:t>
      </w:r>
      <w:proofErr w:type="spellEnd"/>
      <w:r w:rsidR="00A57B8D" w:rsidRPr="00D306EA">
        <w:rPr>
          <w:rFonts w:ascii="DINOT-Regular" w:hAnsi="DINOT-Regular"/>
          <w:sz w:val="20"/>
        </w:rPr>
        <w:t xml:space="preserve"> ont une largeur visible de 15mm et</w:t>
      </w:r>
      <w:r w:rsidR="00601B60" w:rsidRPr="00D306EA">
        <w:rPr>
          <w:rFonts w:ascii="DINOT-Regular" w:hAnsi="DINOT-Regular"/>
          <w:sz w:val="20"/>
        </w:rPr>
        <w:t xml:space="preserve"> viennent en longueur de 600, 1200 et </w:t>
      </w:r>
      <w:smartTag w:uri="urn:schemas-microsoft-com:office:smarttags" w:element="metricconverter">
        <w:smartTagPr>
          <w:attr w:name="ProductID" w:val="3600 mm"/>
        </w:smartTagPr>
        <w:r w:rsidR="00601B60" w:rsidRPr="00D306EA">
          <w:rPr>
            <w:rFonts w:ascii="DINOT-Regular" w:hAnsi="DINOT-Regular"/>
            <w:sz w:val="20"/>
          </w:rPr>
          <w:t>3600 mm</w:t>
        </w:r>
      </w:smartTag>
      <w:r w:rsidR="00601B60" w:rsidRPr="00D306EA">
        <w:rPr>
          <w:rFonts w:ascii="DINOT-Regular" w:hAnsi="DINOT-Regular"/>
          <w:sz w:val="20"/>
        </w:rPr>
        <w:t xml:space="preserve">. A fin de faciliter le montage et le démontage, les profils sont équipés </w:t>
      </w:r>
      <w:proofErr w:type="gramStart"/>
      <w:r w:rsidR="00601B60" w:rsidRPr="00D306EA">
        <w:rPr>
          <w:rFonts w:ascii="DINOT-Regular" w:hAnsi="DINOT-Regular"/>
          <w:sz w:val="20"/>
        </w:rPr>
        <w:t>d’un clips</w:t>
      </w:r>
      <w:proofErr w:type="gramEnd"/>
      <w:r w:rsidR="00601B60" w:rsidRPr="00D306EA">
        <w:rPr>
          <w:rFonts w:ascii="DINOT-Regular" w:hAnsi="DINOT-Regular"/>
          <w:sz w:val="20"/>
        </w:rPr>
        <w:t xml:space="preserve"> au bout. Sa forme unique permet de créer un joint d’ombre du </w:t>
      </w:r>
      <w:smartTag w:uri="urn:schemas-microsoft-com:office:smarttags" w:element="metricconverter">
        <w:smartTagPr>
          <w:attr w:name="ProductID" w:val="8 mm"/>
        </w:smartTagPr>
        <w:r w:rsidR="00601B60" w:rsidRPr="00D306EA">
          <w:rPr>
            <w:rFonts w:ascii="DINOT-Regular" w:hAnsi="DINOT-Regular"/>
            <w:sz w:val="20"/>
          </w:rPr>
          <w:t>8 mm</w:t>
        </w:r>
      </w:smartTag>
      <w:r w:rsidR="00601B60" w:rsidRPr="00D306EA">
        <w:rPr>
          <w:rFonts w:ascii="DINOT-Regular" w:hAnsi="DINOT-Regular"/>
          <w:sz w:val="20"/>
        </w:rPr>
        <w:t xml:space="preserve"> entre les dalles. En jouant avec les différentes combinaisons de couleurs du profil, </w:t>
      </w:r>
      <w:proofErr w:type="gramStart"/>
      <w:r w:rsidR="00601B60" w:rsidRPr="00D306EA">
        <w:rPr>
          <w:rFonts w:ascii="DINOT-Regular" w:hAnsi="DINOT-Regular"/>
          <w:sz w:val="20"/>
        </w:rPr>
        <w:t>différentes styles</w:t>
      </w:r>
      <w:proofErr w:type="gramEnd"/>
      <w:r w:rsidR="00601B60" w:rsidRPr="00D306EA">
        <w:rPr>
          <w:rFonts w:ascii="DINOT-Regular" w:hAnsi="DINOT-Regular"/>
          <w:sz w:val="20"/>
        </w:rPr>
        <w:t xml:space="preserve"> de plafonds peuvent </w:t>
      </w:r>
      <w:r w:rsidR="00E51D80" w:rsidRPr="00D306EA">
        <w:rPr>
          <w:rFonts w:ascii="DINOT-Regular" w:hAnsi="DINOT-Regular"/>
          <w:sz w:val="20"/>
        </w:rPr>
        <w:t>être créés</w:t>
      </w:r>
      <w:r w:rsidR="001D6C6B" w:rsidRPr="00D306EA">
        <w:rPr>
          <w:rFonts w:ascii="DINOT-Regular" w:hAnsi="DINOT-Regular"/>
          <w:sz w:val="20"/>
        </w:rPr>
        <w:t> :</w:t>
      </w:r>
    </w:p>
    <w:p w14:paraId="3AA2D379" w14:textId="77777777" w:rsidR="001D6C6B" w:rsidRPr="00D306EA" w:rsidRDefault="001D6C6B" w:rsidP="00675958">
      <w:pPr>
        <w:numPr>
          <w:ilvl w:val="0"/>
          <w:numId w:val="1"/>
        </w:numPr>
        <w:rPr>
          <w:rFonts w:ascii="DINOT-Regular" w:hAnsi="DINOT-Regular"/>
          <w:sz w:val="20"/>
        </w:rPr>
      </w:pPr>
      <w:r w:rsidRPr="00D306EA">
        <w:rPr>
          <w:rFonts w:ascii="DINOT-Regular" w:hAnsi="DINOT-Regular"/>
          <w:sz w:val="20"/>
        </w:rPr>
        <w:t>Gris/Gris</w:t>
      </w:r>
    </w:p>
    <w:p w14:paraId="3AA2D37A" w14:textId="77777777" w:rsidR="001D6C6B" w:rsidRPr="00D306EA" w:rsidRDefault="001D6C6B" w:rsidP="00675958">
      <w:pPr>
        <w:numPr>
          <w:ilvl w:val="0"/>
          <w:numId w:val="1"/>
        </w:numPr>
        <w:rPr>
          <w:rFonts w:ascii="DINOT-Regular" w:hAnsi="DINOT-Regular"/>
          <w:sz w:val="20"/>
          <w:lang w:val="fr-BE"/>
        </w:rPr>
      </w:pPr>
      <w:r w:rsidRPr="00D306EA">
        <w:rPr>
          <w:rFonts w:ascii="DINOT-Regular" w:hAnsi="DINOT-Regular"/>
          <w:sz w:val="20"/>
        </w:rPr>
        <w:t>Gris/Noir</w:t>
      </w:r>
    </w:p>
    <w:p w14:paraId="3AA2D37B" w14:textId="77777777" w:rsidR="001D6C6B" w:rsidRPr="00D306EA" w:rsidRDefault="001D6C6B" w:rsidP="00675958">
      <w:pPr>
        <w:numPr>
          <w:ilvl w:val="0"/>
          <w:numId w:val="1"/>
        </w:numPr>
        <w:rPr>
          <w:rFonts w:ascii="DINOT-Regular" w:hAnsi="DINOT-Regular"/>
          <w:sz w:val="20"/>
          <w:lang w:val="fr-BE"/>
        </w:rPr>
      </w:pPr>
      <w:r w:rsidRPr="00D306EA">
        <w:rPr>
          <w:rFonts w:ascii="DINOT-Regular" w:hAnsi="DINOT-Regular"/>
          <w:sz w:val="20"/>
        </w:rPr>
        <w:t>Noir/Noir</w:t>
      </w:r>
    </w:p>
    <w:p w14:paraId="3AA2D37C" w14:textId="77777777" w:rsidR="001D6C6B" w:rsidRPr="00D306EA" w:rsidRDefault="009F4CBF" w:rsidP="00675958">
      <w:pPr>
        <w:numPr>
          <w:ilvl w:val="0"/>
          <w:numId w:val="1"/>
        </w:numPr>
        <w:rPr>
          <w:rFonts w:ascii="DINOT-Regular" w:hAnsi="DINOT-Regular"/>
          <w:sz w:val="20"/>
          <w:lang w:val="fr-BE"/>
        </w:rPr>
      </w:pPr>
      <w:r w:rsidRPr="00D306EA">
        <w:rPr>
          <w:rFonts w:ascii="DINOT-Regular" w:hAnsi="DINOT-Regular"/>
          <w:sz w:val="20"/>
        </w:rPr>
        <w:t>Blanc/Blanc</w:t>
      </w:r>
    </w:p>
    <w:p w14:paraId="3AA2D37D" w14:textId="77777777" w:rsidR="001D6C6B" w:rsidRPr="00D306EA" w:rsidRDefault="001D6C6B" w:rsidP="00675958">
      <w:pPr>
        <w:numPr>
          <w:ilvl w:val="0"/>
          <w:numId w:val="1"/>
        </w:numPr>
        <w:rPr>
          <w:rFonts w:ascii="DINOT-Regular" w:hAnsi="DINOT-Regular"/>
          <w:sz w:val="20"/>
          <w:lang w:val="fr-BE"/>
        </w:rPr>
      </w:pPr>
      <w:r w:rsidRPr="00D306EA">
        <w:rPr>
          <w:rFonts w:ascii="DINOT-Regular" w:hAnsi="DINOT-Regular"/>
          <w:sz w:val="20"/>
        </w:rPr>
        <w:t>Blanc/Noir</w:t>
      </w:r>
    </w:p>
    <w:p w14:paraId="3AA2D37E" w14:textId="77777777" w:rsidR="001D6C6B" w:rsidRPr="00D306EA" w:rsidRDefault="009F4CBF" w:rsidP="00675958">
      <w:pPr>
        <w:rPr>
          <w:rFonts w:ascii="DINOT-Regular" w:hAnsi="DINOT-Regular"/>
          <w:sz w:val="20"/>
          <w:lang w:val="fr-BE"/>
        </w:rPr>
      </w:pPr>
      <w:r w:rsidRPr="00D306EA">
        <w:rPr>
          <w:rFonts w:ascii="DINOT-Regular" w:hAnsi="DINOT-Regular"/>
          <w:sz w:val="20"/>
          <w:lang w:val="fr-BE"/>
        </w:rPr>
        <w:t xml:space="preserve">Les profils </w:t>
      </w:r>
      <w:proofErr w:type="spellStart"/>
      <w:r w:rsidRPr="00D306EA">
        <w:rPr>
          <w:rFonts w:ascii="DINOT-Regular" w:hAnsi="DINOT-Regular"/>
          <w:sz w:val="20"/>
          <w:lang w:val="fr-BE"/>
        </w:rPr>
        <w:t>C</w:t>
      </w:r>
      <w:r w:rsidR="001D6C6B" w:rsidRPr="00D306EA">
        <w:rPr>
          <w:rFonts w:ascii="DINOT-Regular" w:hAnsi="DINOT-Regular"/>
          <w:sz w:val="20"/>
          <w:lang w:val="fr-BE"/>
        </w:rPr>
        <w:t>olorline</w:t>
      </w:r>
      <w:proofErr w:type="spellEnd"/>
      <w:r w:rsidR="001D6C6B" w:rsidRPr="00D306EA">
        <w:rPr>
          <w:rFonts w:ascii="DINOT-Regular" w:hAnsi="DINOT-Regular"/>
          <w:sz w:val="20"/>
          <w:lang w:val="fr-BE"/>
        </w:rPr>
        <w:t xml:space="preserve"> ont un retrait de 8mm et son</w:t>
      </w:r>
      <w:r w:rsidRPr="00D306EA">
        <w:rPr>
          <w:rFonts w:ascii="DINOT-Regular" w:hAnsi="DINOT-Regular"/>
          <w:sz w:val="20"/>
          <w:lang w:val="fr-BE"/>
        </w:rPr>
        <w:t xml:space="preserve">t </w:t>
      </w:r>
      <w:proofErr w:type="gramStart"/>
      <w:r w:rsidRPr="00D306EA">
        <w:rPr>
          <w:rFonts w:ascii="DINOT-Regular" w:hAnsi="DINOT-Regular"/>
          <w:sz w:val="20"/>
          <w:lang w:val="fr-BE"/>
        </w:rPr>
        <w:t>a</w:t>
      </w:r>
      <w:proofErr w:type="gramEnd"/>
      <w:r w:rsidRPr="00D306EA">
        <w:rPr>
          <w:rFonts w:ascii="DINOT-Regular" w:hAnsi="DINOT-Regular"/>
          <w:sz w:val="20"/>
          <w:lang w:val="fr-BE"/>
        </w:rPr>
        <w:t xml:space="preserve"> combiner avec les panneaux Lay-in DROP</w:t>
      </w:r>
      <w:r w:rsidR="001D6C6B" w:rsidRPr="00D306EA">
        <w:rPr>
          <w:rFonts w:ascii="DINOT-Regular" w:hAnsi="DINOT-Regular"/>
          <w:sz w:val="20"/>
          <w:lang w:val="fr-BE"/>
        </w:rPr>
        <w:t>.</w:t>
      </w:r>
    </w:p>
    <w:p w14:paraId="3AA2D37F" w14:textId="77777777" w:rsidR="00A57B8D" w:rsidRPr="00D306EA" w:rsidRDefault="00ED5592" w:rsidP="00675958">
      <w:pPr>
        <w:rPr>
          <w:rFonts w:ascii="DINOT-Regular" w:hAnsi="DINOT-Regular"/>
          <w:sz w:val="20"/>
        </w:rPr>
      </w:pPr>
      <w:r w:rsidRPr="00D306EA">
        <w:rPr>
          <w:rFonts w:ascii="DINOT-Regular" w:hAnsi="DINOT-Regular"/>
          <w:sz w:val="20"/>
        </w:rPr>
        <w:cr/>
      </w:r>
      <w:r w:rsidRPr="000874A8">
        <w:rPr>
          <w:rFonts w:ascii="DINOT-Regular" w:hAnsi="DINOT-Regular"/>
          <w:b/>
          <w:szCs w:val="24"/>
        </w:rPr>
        <w:t>II Matériaux</w:t>
      </w:r>
      <w:r w:rsidRPr="00D306EA">
        <w:rPr>
          <w:rFonts w:ascii="DINOT-Regular" w:hAnsi="DINOT-Regular"/>
          <w:b/>
          <w:sz w:val="20"/>
        </w:rPr>
        <w:cr/>
      </w:r>
      <w:r w:rsidRPr="00D306EA">
        <w:rPr>
          <w:rFonts w:ascii="DINOT-Regular" w:hAnsi="DINOT-Regular"/>
          <w:sz w:val="20"/>
        </w:rPr>
        <w:t>Les panneaux de plafond sont fabriqués en acier 0,52mm galvanisé à chaud avec une couche de zinc de minimum 100g/m² selon le procédé Sendzimir.</w:t>
      </w:r>
      <w:r w:rsidRPr="00D306EA">
        <w:rPr>
          <w:rFonts w:ascii="DINOT-Regular" w:hAnsi="DINOT-Regular"/>
          <w:sz w:val="20"/>
        </w:rPr>
        <w:cr/>
      </w:r>
    </w:p>
    <w:p w14:paraId="3AA2D380" w14:textId="77777777" w:rsidR="00A57B8D" w:rsidRPr="00D306EA" w:rsidRDefault="00ED5592" w:rsidP="00675958">
      <w:pPr>
        <w:rPr>
          <w:rFonts w:ascii="DINOT-Regular" w:hAnsi="DINOT-Regular"/>
          <w:sz w:val="20"/>
        </w:rPr>
      </w:pPr>
      <w:r w:rsidRPr="000874A8">
        <w:rPr>
          <w:rFonts w:ascii="DINOT-Regular" w:hAnsi="DINOT-Regular"/>
          <w:b/>
          <w:szCs w:val="24"/>
        </w:rPr>
        <w:t>III Fabrication</w:t>
      </w:r>
      <w:r w:rsidRPr="00D306EA">
        <w:rPr>
          <w:rFonts w:ascii="DINOT-Regular" w:hAnsi="DINOT-Regular"/>
          <w:b/>
          <w:sz w:val="20"/>
        </w:rPr>
        <w:cr/>
      </w:r>
      <w:r w:rsidRPr="00D306EA">
        <w:rPr>
          <w:rFonts w:ascii="DINOT-Regular" w:hAnsi="DINOT-Regular"/>
          <w:sz w:val="20"/>
        </w:rPr>
        <w:t>Les panneaux DROP (en retombée)</w:t>
      </w:r>
      <w:r w:rsidRPr="00D306EA">
        <w:rPr>
          <w:rFonts w:ascii="DINOT-Regular" w:hAnsi="DINOT-Regular"/>
          <w:b/>
          <w:sz w:val="20"/>
        </w:rPr>
        <w:t xml:space="preserve"> </w:t>
      </w:r>
      <w:r w:rsidRPr="00D306EA">
        <w:rPr>
          <w:rFonts w:ascii="DINOT-Regular" w:hAnsi="DINOT-Regular"/>
          <w:sz w:val="20"/>
        </w:rPr>
        <w:t>ont un bossage de</w:t>
      </w:r>
      <w:r w:rsidRPr="00D306EA">
        <w:rPr>
          <w:rFonts w:ascii="DINOT-Regular" w:hAnsi="DINOT-Regular"/>
          <w:b/>
          <w:sz w:val="20"/>
        </w:rPr>
        <w:t xml:space="preserve"> </w:t>
      </w:r>
      <w:r w:rsidRPr="00D306EA">
        <w:rPr>
          <w:rFonts w:ascii="DINOT-Regular" w:hAnsi="DINOT-Regular"/>
          <w:sz w:val="20"/>
        </w:rPr>
        <w:t>8mm</w:t>
      </w:r>
      <w:r w:rsidR="00A57B8D" w:rsidRPr="00D306EA">
        <w:rPr>
          <w:rFonts w:ascii="DINOT-Regular" w:hAnsi="DINOT-Regular"/>
          <w:sz w:val="20"/>
        </w:rPr>
        <w:t>.</w:t>
      </w:r>
      <w:r w:rsidR="00E51D80" w:rsidRPr="00D306EA">
        <w:rPr>
          <w:rFonts w:ascii="DINOT-Regular" w:hAnsi="DINOT-Regular"/>
          <w:sz w:val="20"/>
        </w:rPr>
        <w:t xml:space="preserve"> Les panneaux ont une dimension </w:t>
      </w:r>
      <w:r w:rsidR="00FE5CF3" w:rsidRPr="00D306EA">
        <w:rPr>
          <w:rFonts w:ascii="DINOT-Regular" w:hAnsi="DINOT-Regular"/>
          <w:sz w:val="20"/>
        </w:rPr>
        <w:t xml:space="preserve">extérieure </w:t>
      </w:r>
      <w:r w:rsidR="00E51D80" w:rsidRPr="00D306EA">
        <w:rPr>
          <w:rFonts w:ascii="DINOT-Regular" w:hAnsi="DINOT-Regular"/>
          <w:sz w:val="20"/>
        </w:rPr>
        <w:t xml:space="preserve">de 600 x </w:t>
      </w:r>
      <w:smartTag w:uri="urn:schemas-microsoft-com:office:smarttags" w:element="metricconverter">
        <w:smartTagPr>
          <w:attr w:name="ProductID" w:val="600 mm"/>
        </w:smartTagPr>
        <w:r w:rsidR="00E51D80" w:rsidRPr="00D306EA">
          <w:rPr>
            <w:rFonts w:ascii="DINOT-Regular" w:hAnsi="DINOT-Regular"/>
            <w:sz w:val="20"/>
          </w:rPr>
          <w:t>600 mm</w:t>
        </w:r>
      </w:smartTag>
      <w:r w:rsidR="0085718D" w:rsidRPr="00D306EA">
        <w:rPr>
          <w:rFonts w:ascii="DINOT-Regular" w:hAnsi="DINOT-Regular"/>
          <w:sz w:val="20"/>
        </w:rPr>
        <w:t xml:space="preserve">, </w:t>
      </w:r>
      <w:r w:rsidR="009B58BD" w:rsidRPr="00D306EA">
        <w:rPr>
          <w:rFonts w:ascii="DINOT-Regular" w:hAnsi="DINOT-Regular"/>
          <w:sz w:val="20"/>
        </w:rPr>
        <w:t>la</w:t>
      </w:r>
      <w:r w:rsidR="0085718D" w:rsidRPr="00D306EA">
        <w:rPr>
          <w:rFonts w:ascii="DINOT-Regular" w:hAnsi="DINOT-Regular"/>
          <w:sz w:val="20"/>
        </w:rPr>
        <w:t xml:space="preserve"> surface visible est de</w:t>
      </w:r>
      <w:r w:rsidR="00E51D80" w:rsidRPr="00D306EA">
        <w:rPr>
          <w:rFonts w:ascii="DINOT-Regular" w:hAnsi="DINOT-Regular"/>
          <w:sz w:val="20"/>
        </w:rPr>
        <w:t xml:space="preserve"> 585 x </w:t>
      </w:r>
      <w:smartTag w:uri="urn:schemas-microsoft-com:office:smarttags" w:element="metricconverter">
        <w:smartTagPr>
          <w:attr w:name="ProductID" w:val="585 mm"/>
        </w:smartTagPr>
        <w:r w:rsidR="00E51D80" w:rsidRPr="00D306EA">
          <w:rPr>
            <w:rFonts w:ascii="DINOT-Regular" w:hAnsi="DINOT-Regular"/>
            <w:sz w:val="20"/>
          </w:rPr>
          <w:t>585 mm</w:t>
        </w:r>
      </w:smartTag>
      <w:r w:rsidR="00E51D80" w:rsidRPr="00D306EA">
        <w:rPr>
          <w:rFonts w:ascii="DINOT-Regular" w:hAnsi="DINOT-Regular"/>
          <w:sz w:val="20"/>
        </w:rPr>
        <w:t>.</w:t>
      </w:r>
    </w:p>
    <w:p w14:paraId="3AA2D381" w14:textId="77777777" w:rsidR="00ED5592" w:rsidRPr="00D306EA" w:rsidRDefault="00ED5592" w:rsidP="00675958">
      <w:pPr>
        <w:rPr>
          <w:rFonts w:ascii="DINOT-Regular" w:hAnsi="DINOT-Regular"/>
          <w:sz w:val="20"/>
        </w:rPr>
      </w:pPr>
      <w:r w:rsidRPr="00D306EA">
        <w:rPr>
          <w:rFonts w:ascii="DINOT-Regular" w:hAnsi="DINOT-Regular"/>
          <w:sz w:val="20"/>
        </w:rPr>
        <w:t>Les panneaux sont produits selon BS 8290 partie 2 : 1991, Guide n°2 publié par ‘</w:t>
      </w:r>
      <w:proofErr w:type="spellStart"/>
      <w:r w:rsidRPr="00D306EA">
        <w:rPr>
          <w:rFonts w:ascii="DINOT-Regular" w:hAnsi="DINOT-Regular"/>
          <w:sz w:val="20"/>
        </w:rPr>
        <w:t>Suspended</w:t>
      </w:r>
      <w:proofErr w:type="spellEnd"/>
      <w:r w:rsidRPr="00D306EA">
        <w:rPr>
          <w:rFonts w:ascii="DINOT-Regular" w:hAnsi="DINOT-Regular"/>
          <w:sz w:val="20"/>
        </w:rPr>
        <w:t xml:space="preserve"> </w:t>
      </w:r>
      <w:proofErr w:type="spellStart"/>
      <w:r w:rsidRPr="00D306EA">
        <w:rPr>
          <w:rFonts w:ascii="DINOT-Regular" w:hAnsi="DINOT-Regular"/>
          <w:sz w:val="20"/>
        </w:rPr>
        <w:t>Ceilings</w:t>
      </w:r>
      <w:proofErr w:type="spellEnd"/>
      <w:r w:rsidRPr="00D306EA">
        <w:rPr>
          <w:rFonts w:ascii="DINOT-Regular" w:hAnsi="DINOT-Regular"/>
          <w:sz w:val="20"/>
        </w:rPr>
        <w:t xml:space="preserve"> Association’, TAIM et AFNOR NFP 68-203-1.</w:t>
      </w:r>
      <w:r w:rsidRPr="00D306EA">
        <w:rPr>
          <w:rFonts w:ascii="DINOT-Regular" w:hAnsi="DINOT-Regular"/>
          <w:sz w:val="20"/>
        </w:rPr>
        <w:cr/>
      </w:r>
      <w:r w:rsidRPr="00D306EA">
        <w:rPr>
          <w:rFonts w:ascii="DINOT-Regular" w:hAnsi="DINOT-Regular"/>
          <w:sz w:val="20"/>
        </w:rPr>
        <w:cr/>
      </w:r>
      <w:r w:rsidRPr="000874A8">
        <w:rPr>
          <w:rFonts w:ascii="DINOT-Regular" w:hAnsi="DINOT-Regular"/>
          <w:b/>
          <w:szCs w:val="24"/>
        </w:rPr>
        <w:t>IV Finition</w:t>
      </w:r>
      <w:r w:rsidRPr="00D306EA">
        <w:rPr>
          <w:rFonts w:ascii="DINOT-Regular" w:hAnsi="DINOT-Regular"/>
          <w:b/>
          <w:sz w:val="20"/>
        </w:rPr>
        <w:cr/>
      </w:r>
      <w:r w:rsidRPr="00D306EA">
        <w:rPr>
          <w:rFonts w:ascii="DINOT-Regular" w:hAnsi="DINOT-Regular"/>
          <w:sz w:val="20"/>
        </w:rPr>
        <w:t>Les panneaux sont finis de façon standard en couleur argent métallisé ou en blanc.</w:t>
      </w:r>
    </w:p>
    <w:p w14:paraId="3AA2D382" w14:textId="77777777" w:rsidR="00FE5CF3" w:rsidRPr="00D306EA" w:rsidRDefault="00FE5CF3" w:rsidP="00675958">
      <w:pPr>
        <w:rPr>
          <w:rFonts w:ascii="DINOT-Regular" w:hAnsi="DINOT-Regular"/>
          <w:sz w:val="20"/>
        </w:rPr>
      </w:pPr>
      <w:r w:rsidRPr="00D306EA">
        <w:rPr>
          <w:rFonts w:ascii="DINOT-Regular" w:hAnsi="DINOT-Regular"/>
          <w:sz w:val="20"/>
        </w:rPr>
        <w:t>Autres couleurs et gabarits de perforation disponibles sur demande.</w:t>
      </w:r>
    </w:p>
    <w:p w14:paraId="3AA2D383" w14:textId="77777777" w:rsidR="00ED5592" w:rsidRPr="00D306EA" w:rsidRDefault="00ED5592" w:rsidP="00675958">
      <w:pPr>
        <w:rPr>
          <w:rFonts w:ascii="DINOT-Regular" w:hAnsi="DINOT-Regular"/>
          <w:sz w:val="20"/>
        </w:rPr>
      </w:pPr>
      <w:r w:rsidRPr="00D306EA">
        <w:rPr>
          <w:rFonts w:ascii="DINOT-Regular" w:hAnsi="DINOT-Regular"/>
          <w:sz w:val="20"/>
        </w:rPr>
        <w:t xml:space="preserve">Les panneaux et les profilés de finition sont </w:t>
      </w:r>
      <w:proofErr w:type="gramStart"/>
      <w:r w:rsidR="00E51D80" w:rsidRPr="00D306EA">
        <w:rPr>
          <w:rFonts w:ascii="DINOT-Regular" w:hAnsi="DINOT-Regular"/>
          <w:sz w:val="20"/>
        </w:rPr>
        <w:t>pré peints</w:t>
      </w:r>
      <w:proofErr w:type="gramEnd"/>
      <w:r w:rsidRPr="00D306EA">
        <w:rPr>
          <w:rFonts w:ascii="DINOT-Regular" w:hAnsi="DINOT-Regular"/>
          <w:sz w:val="20"/>
        </w:rPr>
        <w:t xml:space="preserve">. </w:t>
      </w:r>
      <w:proofErr w:type="gramStart"/>
      <w:r w:rsidRPr="00D306EA">
        <w:rPr>
          <w:rFonts w:ascii="DINOT-Regular" w:hAnsi="DINOT-Regular"/>
          <w:sz w:val="20"/>
        </w:rPr>
        <w:t>Résultat:</w:t>
      </w:r>
      <w:proofErr w:type="gramEnd"/>
      <w:r w:rsidRPr="00D306EA">
        <w:rPr>
          <w:rFonts w:ascii="DINOT-Regular" w:hAnsi="DINOT-Regular"/>
          <w:sz w:val="20"/>
        </w:rPr>
        <w:t xml:space="preserve"> une couche de laque plus fine et un meilleur degré de finition des perforations, ainsi que des matériels moins sensibles aux empreintes en tout genre. De plus, tant les dalles que les profilés de finition sont munis d'un film facile à enlever et ce afin d'éviter les endommagements et de garantir une finition parfaite lors de la pose.</w:t>
      </w:r>
    </w:p>
    <w:p w14:paraId="3AA2D384" w14:textId="77777777" w:rsidR="00ED5592" w:rsidRPr="00D306EA" w:rsidRDefault="00ED5592" w:rsidP="00675958">
      <w:pPr>
        <w:rPr>
          <w:rFonts w:ascii="DINOT-Regular" w:hAnsi="DINOT-Regular"/>
          <w:sz w:val="20"/>
        </w:rPr>
      </w:pPr>
      <w:r w:rsidRPr="00D306EA">
        <w:rPr>
          <w:rFonts w:ascii="DINOT-Regular" w:hAnsi="DINOT-Regular"/>
          <w:sz w:val="20"/>
        </w:rPr>
        <w:t xml:space="preserve">Durant le processus de production, la valeur de la couleur est mesurée selon ISO 7724-2 et ISO 7224-3 avec une déviation chromatique maximale ne pouvant excéder </w:t>
      </w:r>
      <w:r w:rsidR="003D2CA3">
        <w:rPr>
          <w:rFonts w:ascii="DINOT-Regular" w:hAnsi="DINOT-Regular"/>
          <w:sz w:val="20"/>
        </w:rPr>
        <w:t>∆E=1</w:t>
      </w:r>
      <w:r w:rsidRPr="00D306EA">
        <w:rPr>
          <w:rFonts w:ascii="DINOT-Regular" w:hAnsi="DINOT-Regular"/>
          <w:sz w:val="20"/>
        </w:rPr>
        <w:t xml:space="preserve">. </w:t>
      </w:r>
    </w:p>
    <w:p w14:paraId="3AA2D385" w14:textId="77777777" w:rsidR="00ED5592" w:rsidRPr="00992D76" w:rsidRDefault="00ED5592" w:rsidP="00675958">
      <w:pPr>
        <w:rPr>
          <w:rFonts w:ascii="DINOT-Regular" w:hAnsi="DINOT-Regular"/>
          <w:b/>
          <w:sz w:val="20"/>
        </w:rPr>
      </w:pPr>
      <w:r w:rsidRPr="00D306EA">
        <w:rPr>
          <w:rFonts w:ascii="DINOT-Regular" w:hAnsi="DINOT-Regular"/>
          <w:sz w:val="20"/>
        </w:rPr>
        <w:t>Les panneaux perforés sont munis de façon standard d'une membrane acoustique encollée.</w:t>
      </w:r>
      <w:r w:rsidRPr="00D306EA">
        <w:rPr>
          <w:rFonts w:ascii="DINOT-Regular" w:hAnsi="DINOT-Regular"/>
          <w:sz w:val="20"/>
        </w:rPr>
        <w:cr/>
      </w:r>
      <w:r w:rsidRPr="00D306EA">
        <w:rPr>
          <w:rFonts w:ascii="DINOT-Regular" w:hAnsi="DINOT-Regular"/>
          <w:sz w:val="20"/>
        </w:rPr>
        <w:cr/>
      </w:r>
      <w:r w:rsidRPr="000874A8">
        <w:rPr>
          <w:rFonts w:ascii="DINOT-Regular" w:hAnsi="DINOT-Regular"/>
          <w:b/>
          <w:szCs w:val="24"/>
        </w:rPr>
        <w:t>V Gabarits de perforation</w:t>
      </w:r>
      <w:r w:rsidRPr="00D306EA">
        <w:rPr>
          <w:rFonts w:ascii="DINOT-Regular" w:hAnsi="DINOT-Regular"/>
          <w:b/>
          <w:sz w:val="20"/>
        </w:rPr>
        <w:cr/>
        <w:t>Gabarit de perforation R</w:t>
      </w:r>
      <w:proofErr w:type="gramStart"/>
      <w:r w:rsidRPr="00D306EA">
        <w:rPr>
          <w:rFonts w:ascii="DINOT-Regular" w:hAnsi="DINOT-Regular"/>
          <w:b/>
          <w:sz w:val="20"/>
        </w:rPr>
        <w:t>10:</w:t>
      </w:r>
      <w:proofErr w:type="gramEnd"/>
      <w:r w:rsidRPr="00D306EA">
        <w:rPr>
          <w:rFonts w:ascii="DINOT-Regular" w:hAnsi="DINOT-Regular"/>
          <w:b/>
          <w:sz w:val="20"/>
        </w:rPr>
        <w:t xml:space="preserve"> </w:t>
      </w:r>
      <w:r w:rsidR="00992D76">
        <w:rPr>
          <w:rFonts w:ascii="DINOT-Regular" w:hAnsi="DINOT-Regular"/>
          <w:b/>
          <w:sz w:val="20"/>
        </w:rPr>
        <w:tab/>
      </w:r>
      <w:r w:rsidR="00992D76">
        <w:rPr>
          <w:rFonts w:ascii="DINOT-Regular" w:hAnsi="DINOT-Regular"/>
          <w:b/>
          <w:sz w:val="20"/>
        </w:rPr>
        <w:tab/>
      </w:r>
      <w:r w:rsidR="00992D76">
        <w:rPr>
          <w:rFonts w:ascii="DINOT-Regular" w:hAnsi="DINOT-Regular"/>
          <w:b/>
          <w:sz w:val="20"/>
        </w:rPr>
        <w:tab/>
      </w:r>
      <w:r w:rsidRPr="00D306EA">
        <w:rPr>
          <w:rFonts w:ascii="DINOT-Regular" w:hAnsi="DINOT-Regular"/>
          <w:sz w:val="20"/>
        </w:rPr>
        <w:t>perforation ronde 1,5</w:t>
      </w:r>
      <w:r w:rsidR="00992D76">
        <w:rPr>
          <w:rFonts w:ascii="DINOT-Regular" w:hAnsi="DINOT-Regular"/>
          <w:sz w:val="20"/>
        </w:rPr>
        <w:t xml:space="preserve"> </w:t>
      </w:r>
      <w:r w:rsidRPr="00D306EA">
        <w:rPr>
          <w:rFonts w:ascii="DINOT-Regular" w:hAnsi="DINOT-Regular"/>
          <w:sz w:val="20"/>
        </w:rPr>
        <w:t>mm</w:t>
      </w:r>
      <w:r w:rsidRPr="00D306EA">
        <w:rPr>
          <w:rFonts w:ascii="DINOT-Regular" w:hAnsi="DINOT-Regular"/>
          <w:sz w:val="20"/>
        </w:rPr>
        <w:cr/>
        <w:t xml:space="preserve">                                            </w:t>
      </w:r>
      <w:r w:rsidR="0043341F">
        <w:rPr>
          <w:rFonts w:ascii="DINOT-Regular" w:hAnsi="DINOT-Regular"/>
          <w:sz w:val="20"/>
        </w:rPr>
        <w:t xml:space="preserve">        </w:t>
      </w:r>
      <w:r w:rsidR="00992D76">
        <w:rPr>
          <w:rFonts w:ascii="DINOT-Regular" w:hAnsi="DINOT-Regular"/>
          <w:sz w:val="20"/>
        </w:rPr>
        <w:tab/>
      </w:r>
      <w:r w:rsidR="00992D76">
        <w:rPr>
          <w:rFonts w:ascii="DINOT-Regular" w:hAnsi="DINOT-Regular"/>
          <w:sz w:val="20"/>
        </w:rPr>
        <w:tab/>
      </w:r>
      <w:r w:rsidR="00992D76">
        <w:rPr>
          <w:rFonts w:ascii="DINOT-Regular" w:hAnsi="DINOT-Regular"/>
          <w:sz w:val="20"/>
        </w:rPr>
        <w:tab/>
      </w:r>
      <w:proofErr w:type="gramStart"/>
      <w:r w:rsidRPr="00D306EA">
        <w:rPr>
          <w:rFonts w:ascii="DINOT-Regular" w:hAnsi="DINOT-Regular"/>
          <w:sz w:val="20"/>
        </w:rPr>
        <w:t>distance</w:t>
      </w:r>
      <w:proofErr w:type="gramEnd"/>
      <w:r w:rsidRPr="00D306EA">
        <w:rPr>
          <w:rFonts w:ascii="DINOT-Regular" w:hAnsi="DINOT-Regular"/>
          <w:sz w:val="20"/>
        </w:rPr>
        <w:t xml:space="preserve"> intermédiaire de </w:t>
      </w:r>
      <w:smartTag w:uri="urn:schemas-microsoft-com:office:smarttags" w:element="metricconverter">
        <w:smartTagPr>
          <w:attr w:name="ProductID" w:val="2,5 mm"/>
        </w:smartTagPr>
        <w:r w:rsidRPr="00D306EA">
          <w:rPr>
            <w:rFonts w:ascii="DINOT-Regular" w:hAnsi="DINOT-Regular"/>
            <w:sz w:val="20"/>
          </w:rPr>
          <w:t>2,5 mm</w:t>
        </w:r>
      </w:smartTag>
      <w:r w:rsidRPr="00D306EA">
        <w:rPr>
          <w:rFonts w:ascii="DINOT-Regular" w:hAnsi="DINOT-Regular"/>
          <w:sz w:val="20"/>
        </w:rPr>
        <w:cr/>
        <w:t xml:space="preserve">                                            </w:t>
      </w:r>
      <w:r w:rsidR="0043341F">
        <w:rPr>
          <w:rFonts w:ascii="DINOT-Regular" w:hAnsi="DINOT-Regular"/>
          <w:sz w:val="20"/>
        </w:rPr>
        <w:t xml:space="preserve">        </w:t>
      </w:r>
      <w:r w:rsidR="00992D76">
        <w:rPr>
          <w:rFonts w:ascii="DINOT-Regular" w:hAnsi="DINOT-Regular"/>
          <w:sz w:val="20"/>
        </w:rPr>
        <w:tab/>
      </w:r>
      <w:r w:rsidR="00992D76">
        <w:rPr>
          <w:rFonts w:ascii="DINOT-Regular" w:hAnsi="DINOT-Regular"/>
          <w:sz w:val="20"/>
        </w:rPr>
        <w:tab/>
      </w:r>
      <w:r w:rsidR="00992D76">
        <w:rPr>
          <w:rFonts w:ascii="DINOT-Regular" w:hAnsi="DINOT-Regular"/>
          <w:sz w:val="20"/>
        </w:rPr>
        <w:tab/>
      </w:r>
      <w:proofErr w:type="gramStart"/>
      <w:r w:rsidRPr="00D306EA">
        <w:rPr>
          <w:rFonts w:ascii="DINOT-Regular" w:hAnsi="DINOT-Regular"/>
          <w:sz w:val="20"/>
        </w:rPr>
        <w:t>section</w:t>
      </w:r>
      <w:proofErr w:type="gramEnd"/>
      <w:r w:rsidRPr="00D306EA">
        <w:rPr>
          <w:rFonts w:ascii="DINOT-Regular" w:hAnsi="DINOT-Regular"/>
          <w:sz w:val="20"/>
        </w:rPr>
        <w:t xml:space="preserve"> de passage libre 6%</w:t>
      </w:r>
      <w:r w:rsidRPr="00D306EA">
        <w:rPr>
          <w:rFonts w:ascii="DINOT-Regular" w:hAnsi="DINOT-Regular"/>
          <w:sz w:val="20"/>
        </w:rPr>
        <w:cr/>
        <w:t xml:space="preserve">                                            </w:t>
      </w:r>
      <w:r w:rsidR="0043341F">
        <w:rPr>
          <w:rFonts w:ascii="DINOT-Regular" w:hAnsi="DINOT-Regular"/>
          <w:sz w:val="20"/>
        </w:rPr>
        <w:t xml:space="preserve">        </w:t>
      </w:r>
      <w:r w:rsidR="00992D76">
        <w:rPr>
          <w:rFonts w:ascii="DINOT-Regular" w:hAnsi="DINOT-Regular"/>
          <w:sz w:val="20"/>
        </w:rPr>
        <w:tab/>
      </w:r>
      <w:r w:rsidR="00992D76">
        <w:rPr>
          <w:rFonts w:ascii="DINOT-Regular" w:hAnsi="DINOT-Regular"/>
          <w:sz w:val="20"/>
        </w:rPr>
        <w:tab/>
      </w:r>
      <w:r w:rsidR="00992D76">
        <w:rPr>
          <w:rFonts w:ascii="DINOT-Regular" w:hAnsi="DINOT-Regular"/>
          <w:sz w:val="20"/>
        </w:rPr>
        <w:tab/>
      </w:r>
      <w:proofErr w:type="gramStart"/>
      <w:r w:rsidR="00992D76">
        <w:rPr>
          <w:rFonts w:ascii="DINOT-Regular" w:hAnsi="DINOT-Regular"/>
          <w:sz w:val="20"/>
        </w:rPr>
        <w:t>bord</w:t>
      </w:r>
      <w:proofErr w:type="gramEnd"/>
      <w:r w:rsidR="00992D76">
        <w:rPr>
          <w:rFonts w:ascii="DINOT-Regular" w:hAnsi="DINOT-Regular"/>
          <w:sz w:val="20"/>
        </w:rPr>
        <w:t xml:space="preserve"> non-</w:t>
      </w:r>
      <w:r w:rsidR="00FF0A41">
        <w:rPr>
          <w:rFonts w:ascii="DINOT-Regular" w:hAnsi="DINOT-Regular"/>
          <w:sz w:val="20"/>
        </w:rPr>
        <w:t>perforé</w:t>
      </w:r>
      <w:r w:rsidRPr="00D306EA">
        <w:rPr>
          <w:rFonts w:ascii="DINOT-Regular" w:hAnsi="DINOT-Regular"/>
          <w:sz w:val="20"/>
        </w:rPr>
        <w:t xml:space="preserve"> de 10</w:t>
      </w:r>
      <w:r w:rsidR="00992D76">
        <w:rPr>
          <w:rFonts w:ascii="DINOT-Regular" w:hAnsi="DINOT-Regular"/>
          <w:sz w:val="20"/>
        </w:rPr>
        <w:t>0</w:t>
      </w:r>
      <w:r w:rsidRPr="00D306EA">
        <w:rPr>
          <w:rFonts w:ascii="DINOT-Regular" w:hAnsi="DINOT-Regular"/>
          <w:sz w:val="20"/>
        </w:rPr>
        <w:t xml:space="preserve"> </w:t>
      </w:r>
      <w:r w:rsidR="00992D76">
        <w:rPr>
          <w:rFonts w:ascii="DINOT-Regular" w:hAnsi="DINOT-Regular"/>
          <w:sz w:val="20"/>
        </w:rPr>
        <w:t>m</w:t>
      </w:r>
      <w:r w:rsidRPr="00D306EA">
        <w:rPr>
          <w:rFonts w:ascii="DINOT-Regular" w:hAnsi="DINOT-Regular"/>
          <w:sz w:val="20"/>
        </w:rPr>
        <w:t>m</w:t>
      </w:r>
      <w:r w:rsidRPr="00D306EA">
        <w:rPr>
          <w:rFonts w:ascii="DINOT-Regular" w:hAnsi="DINOT-Regular"/>
          <w:sz w:val="20"/>
        </w:rPr>
        <w:cr/>
      </w:r>
      <w:r w:rsidRPr="00D306EA">
        <w:rPr>
          <w:rFonts w:ascii="DINOT-Regular" w:hAnsi="DINOT-Regular"/>
          <w:b/>
          <w:sz w:val="20"/>
        </w:rPr>
        <w:t xml:space="preserve">Gabarit de perforation </w:t>
      </w:r>
      <w:proofErr w:type="gramStart"/>
      <w:r w:rsidRPr="00D306EA">
        <w:rPr>
          <w:rFonts w:ascii="DINOT-Regular" w:hAnsi="DINOT-Regular"/>
          <w:b/>
          <w:sz w:val="20"/>
        </w:rPr>
        <w:t>R</w:t>
      </w:r>
      <w:r w:rsidRPr="00D306EA">
        <w:rPr>
          <w:rFonts w:ascii="DINOT-Regular" w:hAnsi="DINOT-Regular"/>
          <w:sz w:val="20"/>
        </w:rPr>
        <w:t>:</w:t>
      </w:r>
      <w:proofErr w:type="gramEnd"/>
      <w:r w:rsidR="00FF0A41">
        <w:rPr>
          <w:rFonts w:ascii="DINOT-Regular" w:hAnsi="DINOT-Regular"/>
          <w:sz w:val="20"/>
        </w:rPr>
        <w:t xml:space="preserve">   </w:t>
      </w:r>
      <w:r w:rsidR="00992D76">
        <w:rPr>
          <w:rFonts w:ascii="DINOT-Regular" w:hAnsi="DINOT-Regular"/>
          <w:sz w:val="20"/>
        </w:rPr>
        <w:tab/>
      </w:r>
      <w:r w:rsidR="00992D76">
        <w:rPr>
          <w:rFonts w:ascii="DINOT-Regular" w:hAnsi="DINOT-Regular"/>
          <w:sz w:val="20"/>
        </w:rPr>
        <w:tab/>
      </w:r>
      <w:r w:rsidR="00992D76">
        <w:rPr>
          <w:rFonts w:ascii="DINOT-Regular" w:hAnsi="DINOT-Regular"/>
          <w:sz w:val="20"/>
        </w:rPr>
        <w:tab/>
      </w:r>
      <w:r w:rsidRPr="00D306EA">
        <w:rPr>
          <w:rFonts w:ascii="DINOT-Regular" w:hAnsi="DINOT-Regular"/>
          <w:sz w:val="20"/>
        </w:rPr>
        <w:t>perforation ronde de 1,5</w:t>
      </w:r>
      <w:r w:rsidR="00992D76">
        <w:rPr>
          <w:rFonts w:ascii="DINOT-Regular" w:hAnsi="DINOT-Regular"/>
          <w:sz w:val="20"/>
        </w:rPr>
        <w:t xml:space="preserve"> </w:t>
      </w:r>
      <w:r w:rsidRPr="00D306EA">
        <w:rPr>
          <w:rFonts w:ascii="DINOT-Regular" w:hAnsi="DINOT-Regular"/>
          <w:sz w:val="20"/>
        </w:rPr>
        <w:t>mm</w:t>
      </w:r>
    </w:p>
    <w:p w14:paraId="3AA2D386" w14:textId="77777777" w:rsidR="00ED5592" w:rsidRPr="00D306EA" w:rsidRDefault="00ED5592" w:rsidP="00675958">
      <w:pPr>
        <w:rPr>
          <w:rFonts w:ascii="DINOT-Regular" w:hAnsi="DINOT-Regular"/>
          <w:sz w:val="20"/>
        </w:rPr>
      </w:pPr>
      <w:r w:rsidRPr="00D306EA">
        <w:rPr>
          <w:rFonts w:ascii="DINOT-Regular" w:hAnsi="DINOT-Regular"/>
          <w:sz w:val="20"/>
        </w:rPr>
        <w:t xml:space="preserve">                                         </w:t>
      </w:r>
      <w:r w:rsidR="0043341F">
        <w:rPr>
          <w:rFonts w:ascii="DINOT-Regular" w:hAnsi="DINOT-Regular"/>
          <w:sz w:val="20"/>
        </w:rPr>
        <w:t xml:space="preserve">       </w:t>
      </w:r>
      <w:r w:rsidR="00FF0A41">
        <w:rPr>
          <w:rFonts w:ascii="DINOT-Regular" w:hAnsi="DINOT-Regular"/>
          <w:sz w:val="20"/>
        </w:rPr>
        <w:t xml:space="preserve">   </w:t>
      </w:r>
      <w:r w:rsidR="00992D76">
        <w:rPr>
          <w:rFonts w:ascii="DINOT-Regular" w:hAnsi="DINOT-Regular"/>
          <w:sz w:val="20"/>
        </w:rPr>
        <w:tab/>
      </w:r>
      <w:r w:rsidR="00992D76">
        <w:rPr>
          <w:rFonts w:ascii="DINOT-Regular" w:hAnsi="DINOT-Regular"/>
          <w:sz w:val="20"/>
        </w:rPr>
        <w:tab/>
      </w:r>
      <w:r w:rsidR="00992D76">
        <w:rPr>
          <w:rFonts w:ascii="DINOT-Regular" w:hAnsi="DINOT-Regular"/>
          <w:sz w:val="20"/>
        </w:rPr>
        <w:tab/>
      </w:r>
      <w:proofErr w:type="gramStart"/>
      <w:r w:rsidRPr="00D306EA">
        <w:rPr>
          <w:rFonts w:ascii="DINOT-Regular" w:hAnsi="DINOT-Regular"/>
          <w:sz w:val="20"/>
        </w:rPr>
        <w:t>distance</w:t>
      </w:r>
      <w:proofErr w:type="gramEnd"/>
      <w:r w:rsidRPr="00D306EA">
        <w:rPr>
          <w:rFonts w:ascii="DINOT-Regular" w:hAnsi="DINOT-Regular"/>
          <w:sz w:val="20"/>
        </w:rPr>
        <w:t xml:space="preserve"> intermédiaire </w:t>
      </w:r>
      <w:r w:rsidR="00B73283" w:rsidRPr="00D306EA">
        <w:rPr>
          <w:rFonts w:ascii="DINOT-Regular" w:hAnsi="DINOT-Regular"/>
          <w:sz w:val="20"/>
        </w:rPr>
        <w:t xml:space="preserve">de </w:t>
      </w:r>
      <w:r w:rsidRPr="00D306EA">
        <w:rPr>
          <w:rFonts w:ascii="DINOT-Regular" w:hAnsi="DINOT-Regular"/>
          <w:sz w:val="20"/>
        </w:rPr>
        <w:t>2,5</w:t>
      </w:r>
      <w:r w:rsidR="00992D76">
        <w:rPr>
          <w:rFonts w:ascii="DINOT-Regular" w:hAnsi="DINOT-Regular"/>
          <w:sz w:val="20"/>
        </w:rPr>
        <w:t xml:space="preserve"> </w:t>
      </w:r>
      <w:r w:rsidRPr="00D306EA">
        <w:rPr>
          <w:rFonts w:ascii="DINOT-Regular" w:hAnsi="DINOT-Regular"/>
          <w:sz w:val="20"/>
        </w:rPr>
        <w:t xml:space="preserve">mm </w:t>
      </w:r>
    </w:p>
    <w:p w14:paraId="3AA2D387" w14:textId="77777777" w:rsidR="00ED5592" w:rsidRDefault="00ED5592" w:rsidP="00675958">
      <w:pPr>
        <w:rPr>
          <w:rFonts w:ascii="DINOT-Regular" w:hAnsi="DINOT-Regular"/>
          <w:sz w:val="20"/>
        </w:rPr>
      </w:pPr>
      <w:r w:rsidRPr="00D306EA">
        <w:rPr>
          <w:rFonts w:ascii="DINOT-Regular" w:hAnsi="DINOT-Regular"/>
          <w:b/>
          <w:sz w:val="20"/>
        </w:rPr>
        <w:t xml:space="preserve">                                           </w:t>
      </w:r>
      <w:r w:rsidR="00FF0A41">
        <w:rPr>
          <w:rFonts w:ascii="DINOT-Regular" w:hAnsi="DINOT-Regular"/>
          <w:b/>
          <w:sz w:val="20"/>
        </w:rPr>
        <w:t xml:space="preserve">  </w:t>
      </w:r>
      <w:r w:rsidR="00992D76">
        <w:rPr>
          <w:rFonts w:ascii="DINOT-Regular" w:hAnsi="DINOT-Regular"/>
          <w:b/>
          <w:sz w:val="20"/>
        </w:rPr>
        <w:tab/>
      </w:r>
      <w:r w:rsidR="00992D76">
        <w:rPr>
          <w:rFonts w:ascii="DINOT-Regular" w:hAnsi="DINOT-Regular"/>
          <w:b/>
          <w:sz w:val="20"/>
        </w:rPr>
        <w:tab/>
      </w:r>
      <w:r w:rsidR="00992D76">
        <w:rPr>
          <w:rFonts w:ascii="DINOT-Regular" w:hAnsi="DINOT-Regular"/>
          <w:b/>
          <w:sz w:val="20"/>
        </w:rPr>
        <w:tab/>
      </w:r>
      <w:proofErr w:type="gramStart"/>
      <w:r w:rsidRPr="00D306EA">
        <w:rPr>
          <w:rFonts w:ascii="DINOT-Regular" w:hAnsi="DINOT-Regular"/>
          <w:sz w:val="20"/>
        </w:rPr>
        <w:t>section</w:t>
      </w:r>
      <w:proofErr w:type="gramEnd"/>
      <w:r w:rsidRPr="00D306EA">
        <w:rPr>
          <w:rFonts w:ascii="DINOT-Regular" w:hAnsi="DINOT-Regular"/>
          <w:sz w:val="20"/>
        </w:rPr>
        <w:t xml:space="preserve"> de passage libre 11%</w:t>
      </w:r>
    </w:p>
    <w:p w14:paraId="3AA2D388" w14:textId="77777777" w:rsidR="00FE0552" w:rsidRPr="00FE0552" w:rsidRDefault="00FE0552" w:rsidP="00675958">
      <w:pPr>
        <w:tabs>
          <w:tab w:val="left" w:pos="2835"/>
        </w:tabs>
        <w:rPr>
          <w:rFonts w:ascii="DINOT-Regular" w:hAnsi="DINOT-Regular"/>
          <w:sz w:val="20"/>
        </w:rPr>
      </w:pPr>
      <w:r w:rsidRPr="00FE0552">
        <w:rPr>
          <w:rFonts w:ascii="DINOT-Regular" w:hAnsi="DINOT-Regular"/>
          <w:b/>
          <w:sz w:val="20"/>
        </w:rPr>
        <w:t xml:space="preserve">Gabarit de perforation </w:t>
      </w:r>
      <w:proofErr w:type="gramStart"/>
      <w:r w:rsidRPr="00FE0552">
        <w:rPr>
          <w:rFonts w:ascii="DINOT-Regular" w:hAnsi="DINOT-Regular"/>
          <w:b/>
          <w:sz w:val="20"/>
        </w:rPr>
        <w:t>Q:</w:t>
      </w:r>
      <w:proofErr w:type="gramEnd"/>
      <w:r w:rsidRPr="00FE0552">
        <w:rPr>
          <w:rFonts w:ascii="DINOT-Regular" w:hAnsi="DINOT-Regular"/>
          <w:b/>
          <w:sz w:val="20"/>
        </w:rPr>
        <w:tab/>
      </w:r>
      <w:r w:rsidR="00992D76">
        <w:rPr>
          <w:rFonts w:ascii="DINOT-Regular" w:hAnsi="DINOT-Regular"/>
          <w:b/>
          <w:sz w:val="20"/>
        </w:rPr>
        <w:tab/>
      </w:r>
      <w:r w:rsidR="00992D76">
        <w:rPr>
          <w:rFonts w:ascii="DINOT-Regular" w:hAnsi="DINOT-Regular"/>
          <w:b/>
          <w:sz w:val="20"/>
        </w:rPr>
        <w:tab/>
      </w:r>
      <w:r w:rsidRPr="00FE0552">
        <w:rPr>
          <w:rFonts w:ascii="DINOT-Regular" w:hAnsi="DINOT-Regular"/>
          <w:sz w:val="20"/>
        </w:rPr>
        <w:t>perforation carrée 5</w:t>
      </w:r>
      <w:r w:rsidR="00992D76">
        <w:rPr>
          <w:rFonts w:ascii="DINOT-Regular" w:hAnsi="DINOT-Regular"/>
          <w:sz w:val="20"/>
        </w:rPr>
        <w:t xml:space="preserve"> </w:t>
      </w:r>
      <w:r w:rsidRPr="00FE0552">
        <w:rPr>
          <w:rFonts w:ascii="DINOT-Regular" w:hAnsi="DINOT-Regular"/>
          <w:sz w:val="20"/>
        </w:rPr>
        <w:t>mm</w:t>
      </w:r>
    </w:p>
    <w:p w14:paraId="3AA2D389" w14:textId="77777777" w:rsidR="00FE0552" w:rsidRPr="00FE0552" w:rsidRDefault="00FE0552" w:rsidP="00675958">
      <w:pPr>
        <w:tabs>
          <w:tab w:val="left" w:pos="2835"/>
        </w:tabs>
        <w:rPr>
          <w:rFonts w:ascii="DINOT-Regular" w:hAnsi="DINOT-Regular"/>
          <w:sz w:val="20"/>
        </w:rPr>
      </w:pPr>
      <w:r w:rsidRPr="00FE0552">
        <w:rPr>
          <w:rFonts w:ascii="DINOT-Regular" w:hAnsi="DINOT-Regular"/>
          <w:sz w:val="20"/>
        </w:rPr>
        <w:tab/>
      </w:r>
      <w:r w:rsidR="00992D76">
        <w:rPr>
          <w:rFonts w:ascii="DINOT-Regular" w:hAnsi="DINOT-Regular"/>
          <w:sz w:val="20"/>
        </w:rPr>
        <w:tab/>
      </w:r>
      <w:r w:rsidR="00992D76">
        <w:rPr>
          <w:rFonts w:ascii="DINOT-Regular" w:hAnsi="DINOT-Regular"/>
          <w:sz w:val="20"/>
        </w:rPr>
        <w:tab/>
      </w:r>
      <w:proofErr w:type="gramStart"/>
      <w:r w:rsidRPr="00FE0552">
        <w:rPr>
          <w:rFonts w:ascii="DINOT-Regular" w:hAnsi="DINOT-Regular"/>
          <w:sz w:val="20"/>
        </w:rPr>
        <w:t>distance</w:t>
      </w:r>
      <w:proofErr w:type="gramEnd"/>
      <w:r w:rsidRPr="00FE0552">
        <w:rPr>
          <w:rFonts w:ascii="DINOT-Regular" w:hAnsi="DINOT-Regular"/>
          <w:sz w:val="20"/>
        </w:rPr>
        <w:t xml:space="preserve"> intermédiaire 3</w:t>
      </w:r>
      <w:r w:rsidR="00992D76">
        <w:rPr>
          <w:rFonts w:ascii="DINOT-Regular" w:hAnsi="DINOT-Regular"/>
          <w:sz w:val="20"/>
        </w:rPr>
        <w:t xml:space="preserve"> </w:t>
      </w:r>
      <w:r w:rsidRPr="00FE0552">
        <w:rPr>
          <w:rFonts w:ascii="DINOT-Regular" w:hAnsi="DINOT-Regular"/>
          <w:sz w:val="20"/>
        </w:rPr>
        <w:t>mm</w:t>
      </w:r>
    </w:p>
    <w:p w14:paraId="3AA2D38A" w14:textId="77777777" w:rsidR="00FE0552" w:rsidRPr="00FE0552" w:rsidRDefault="00FE0552" w:rsidP="00675958">
      <w:pPr>
        <w:tabs>
          <w:tab w:val="left" w:pos="2835"/>
        </w:tabs>
        <w:rPr>
          <w:rFonts w:ascii="DINOT-Regular" w:hAnsi="DINOT-Regular"/>
          <w:sz w:val="20"/>
        </w:rPr>
      </w:pPr>
      <w:r w:rsidRPr="00FE0552">
        <w:rPr>
          <w:rFonts w:ascii="DINOT-Regular" w:hAnsi="DINOT-Regular"/>
          <w:sz w:val="20"/>
        </w:rPr>
        <w:tab/>
      </w:r>
      <w:r w:rsidR="00992D76">
        <w:rPr>
          <w:rFonts w:ascii="DINOT-Regular" w:hAnsi="DINOT-Regular"/>
          <w:sz w:val="20"/>
        </w:rPr>
        <w:tab/>
      </w:r>
      <w:r w:rsidR="00992D76">
        <w:rPr>
          <w:rFonts w:ascii="DINOT-Regular" w:hAnsi="DINOT-Regular"/>
          <w:sz w:val="20"/>
        </w:rPr>
        <w:tab/>
      </w:r>
      <w:proofErr w:type="gramStart"/>
      <w:r w:rsidRPr="00FE0552">
        <w:rPr>
          <w:rFonts w:ascii="DINOT-Regular" w:hAnsi="DINOT-Regular"/>
          <w:sz w:val="20"/>
        </w:rPr>
        <w:t>section</w:t>
      </w:r>
      <w:proofErr w:type="gramEnd"/>
      <w:r w:rsidRPr="00FE0552">
        <w:rPr>
          <w:rFonts w:ascii="DINOT-Regular" w:hAnsi="DINOT-Regular"/>
          <w:sz w:val="20"/>
        </w:rPr>
        <w:t xml:space="preserve"> de passage libre 30%</w:t>
      </w:r>
    </w:p>
    <w:p w14:paraId="3AA2D38B" w14:textId="77777777" w:rsidR="00FE0552" w:rsidRPr="00FE0552" w:rsidRDefault="00FE0552" w:rsidP="00675958">
      <w:pPr>
        <w:tabs>
          <w:tab w:val="left" w:pos="2835"/>
        </w:tabs>
        <w:rPr>
          <w:rFonts w:ascii="DINOT-Regular" w:hAnsi="DINOT-Regular"/>
          <w:sz w:val="20"/>
        </w:rPr>
      </w:pPr>
      <w:r w:rsidRPr="00FE0552">
        <w:rPr>
          <w:rFonts w:ascii="DINOT-Regular" w:hAnsi="DINOT-Regular"/>
          <w:sz w:val="20"/>
        </w:rPr>
        <w:tab/>
      </w:r>
      <w:r w:rsidR="00992D76">
        <w:rPr>
          <w:rFonts w:ascii="DINOT-Regular" w:hAnsi="DINOT-Regular"/>
          <w:sz w:val="20"/>
        </w:rPr>
        <w:tab/>
      </w:r>
      <w:r w:rsidR="00992D76">
        <w:rPr>
          <w:rFonts w:ascii="DINOT-Regular" w:hAnsi="DINOT-Regular"/>
          <w:sz w:val="20"/>
        </w:rPr>
        <w:tab/>
      </w:r>
      <w:proofErr w:type="gramStart"/>
      <w:r w:rsidR="00992D76">
        <w:rPr>
          <w:rFonts w:ascii="DINOT-Regular" w:hAnsi="DINOT-Regular"/>
          <w:sz w:val="20"/>
        </w:rPr>
        <w:t>bord</w:t>
      </w:r>
      <w:proofErr w:type="gramEnd"/>
      <w:r w:rsidR="00992D76">
        <w:rPr>
          <w:rFonts w:ascii="DINOT-Regular" w:hAnsi="DINOT-Regular"/>
          <w:sz w:val="20"/>
        </w:rPr>
        <w:t xml:space="preserve"> non-perforé de </w:t>
      </w:r>
      <w:r w:rsidR="00675958">
        <w:rPr>
          <w:rFonts w:ascii="DINOT-Regular" w:hAnsi="DINOT-Regular"/>
          <w:sz w:val="20"/>
        </w:rPr>
        <w:t>2.5</w:t>
      </w:r>
      <w:r w:rsidR="00992D76" w:rsidRPr="00675958">
        <w:rPr>
          <w:rFonts w:ascii="DINOT-Regular" w:hAnsi="DINOT-Regular"/>
          <w:sz w:val="20"/>
        </w:rPr>
        <w:t xml:space="preserve"> mm</w:t>
      </w:r>
      <w:r w:rsidR="00992D76">
        <w:rPr>
          <w:rFonts w:ascii="DINOT-Regular" w:hAnsi="DINOT-Regular"/>
          <w:sz w:val="20"/>
        </w:rPr>
        <w:t xml:space="preserve"> </w:t>
      </w:r>
    </w:p>
    <w:p w14:paraId="3AA2D38D" w14:textId="77777777" w:rsidR="00ED5592" w:rsidRPr="00D306EA" w:rsidRDefault="00ED5592" w:rsidP="00675958">
      <w:pPr>
        <w:rPr>
          <w:rFonts w:ascii="DINOT-Regular" w:hAnsi="DINOT-Regular"/>
          <w:b/>
          <w:sz w:val="20"/>
        </w:rPr>
      </w:pPr>
      <w:r w:rsidRPr="00D306EA">
        <w:rPr>
          <w:rFonts w:ascii="DINOT-Regular" w:hAnsi="DINOT-Regular"/>
          <w:b/>
          <w:sz w:val="20"/>
        </w:rPr>
        <w:t>Panneau 'stretch' Q10</w:t>
      </w:r>
    </w:p>
    <w:p w14:paraId="3AA2D38E" w14:textId="77777777" w:rsidR="00ED5592" w:rsidRPr="00D306EA" w:rsidRDefault="00FB522E" w:rsidP="00675958">
      <w:pPr>
        <w:outlineLvl w:val="0"/>
        <w:rPr>
          <w:rFonts w:ascii="DINOT-Regular" w:hAnsi="DINOT-Regular"/>
          <w:sz w:val="20"/>
        </w:rPr>
      </w:pPr>
      <w:r w:rsidRPr="00D306EA">
        <w:rPr>
          <w:rFonts w:ascii="DINOT-Regular" w:hAnsi="DINOT-Regular"/>
          <w:sz w:val="20"/>
        </w:rPr>
        <w:t>Les panneaux stretch sont fabriqués en acier étiré, galvanisé à chaud, du type Q10 avec o</w:t>
      </w:r>
      <w:r w:rsidR="00ED5592" w:rsidRPr="00D306EA">
        <w:rPr>
          <w:rFonts w:ascii="DINOT-Regular" w:hAnsi="DINOT-Regular"/>
          <w:sz w:val="20"/>
        </w:rPr>
        <w:t>uvertures de 8x10mm</w:t>
      </w:r>
      <w:r w:rsidRPr="00D306EA">
        <w:rPr>
          <w:rFonts w:ascii="DINOT-Regular" w:hAnsi="DINOT-Regular"/>
          <w:sz w:val="20"/>
        </w:rPr>
        <w:t>.</w:t>
      </w:r>
      <w:r w:rsidR="000634FA" w:rsidRPr="00D306EA">
        <w:rPr>
          <w:rFonts w:ascii="DINOT-Regular" w:hAnsi="DINOT-Regular"/>
          <w:sz w:val="20"/>
        </w:rPr>
        <w:t xml:space="preserve"> Autres ouvertures sur demande.</w:t>
      </w:r>
    </w:p>
    <w:p w14:paraId="3AA2D38F" w14:textId="77777777" w:rsidR="00ED5592" w:rsidRDefault="00ED5592" w:rsidP="00675958">
      <w:pPr>
        <w:rPr>
          <w:rFonts w:ascii="DINOT-Regular" w:hAnsi="DINOT-Regular"/>
          <w:sz w:val="20"/>
        </w:rPr>
      </w:pPr>
      <w:r w:rsidRPr="00D306EA">
        <w:rPr>
          <w:rFonts w:ascii="DINOT-Regular" w:hAnsi="DINOT-Regular"/>
          <w:sz w:val="20"/>
        </w:rPr>
        <w:t>En option, ces dalles peuvent être recouvertes d'un tapis d'isolation qui peut être posé tant côté noir que côté blanc dirigé vers le panneau.</w:t>
      </w:r>
    </w:p>
    <w:p w14:paraId="3AA2D390" w14:textId="77777777" w:rsidR="00992D76" w:rsidRPr="00D306EA" w:rsidRDefault="00992D76" w:rsidP="00675958">
      <w:pPr>
        <w:rPr>
          <w:rFonts w:ascii="DINOT-Regular" w:hAnsi="DINOT-Regular"/>
          <w:sz w:val="20"/>
        </w:rPr>
      </w:pPr>
    </w:p>
    <w:p w14:paraId="3AA2D391" w14:textId="77777777" w:rsidR="00992D76" w:rsidRDefault="00ED5592" w:rsidP="00675958">
      <w:pPr>
        <w:rPr>
          <w:rFonts w:ascii="DINOT-Regular" w:hAnsi="DINOT-Regular"/>
          <w:b/>
          <w:sz w:val="20"/>
        </w:rPr>
      </w:pPr>
      <w:r w:rsidRPr="00D306EA">
        <w:rPr>
          <w:rFonts w:ascii="DINOT-Regular" w:hAnsi="DINOT-Regular"/>
          <w:b/>
          <w:sz w:val="20"/>
        </w:rPr>
        <w:t xml:space="preserve">Panneau ALPHA : </w:t>
      </w:r>
    </w:p>
    <w:p w14:paraId="3AA2D392" w14:textId="77777777" w:rsidR="00992D76" w:rsidRDefault="00ED5592" w:rsidP="00675958">
      <w:pPr>
        <w:rPr>
          <w:rFonts w:ascii="DINOT-Regular" w:hAnsi="DINOT-Regular"/>
          <w:sz w:val="20"/>
        </w:rPr>
      </w:pPr>
      <w:r w:rsidRPr="00D306EA">
        <w:rPr>
          <w:rFonts w:ascii="DINOT-Regular" w:hAnsi="DINOT-Regular"/>
          <w:sz w:val="20"/>
        </w:rPr>
        <w:t xml:space="preserve">Les panneaux ALPHA sont fabriqués à partir de matière synthétique mise en forme thermiquement. </w:t>
      </w:r>
    </w:p>
    <w:p w14:paraId="3AA2D393" w14:textId="77777777" w:rsidR="00ED5592" w:rsidRPr="00D306EA" w:rsidRDefault="00ED5592" w:rsidP="00675958">
      <w:pPr>
        <w:rPr>
          <w:rFonts w:ascii="DINOT-Regular" w:hAnsi="DINOT-Regular"/>
          <w:sz w:val="20"/>
        </w:rPr>
      </w:pPr>
      <w:r w:rsidRPr="00D306EA">
        <w:rPr>
          <w:rFonts w:ascii="DINOT-Regular" w:hAnsi="DINOT-Regular"/>
          <w:sz w:val="20"/>
        </w:rPr>
        <w:t>Disponible en 3 versions différentes :</w:t>
      </w:r>
    </w:p>
    <w:p w14:paraId="3AA2D394" w14:textId="77777777" w:rsidR="00ED5592" w:rsidRPr="00D306EA" w:rsidRDefault="00ED5592" w:rsidP="00675958">
      <w:pPr>
        <w:rPr>
          <w:rFonts w:ascii="DINOT-Regular" w:hAnsi="DINOT-Regular"/>
          <w:sz w:val="20"/>
        </w:rPr>
      </w:pPr>
      <w:r w:rsidRPr="00D306EA">
        <w:rPr>
          <w:rFonts w:ascii="DINOT-Regular" w:hAnsi="DINOT-Regular"/>
          <w:sz w:val="20"/>
        </w:rPr>
        <w:t xml:space="preserve">                                         </w:t>
      </w:r>
      <w:r w:rsidR="00B73283" w:rsidRPr="00D306EA">
        <w:rPr>
          <w:rFonts w:ascii="DINOT-Regular" w:hAnsi="DINOT-Regular"/>
          <w:sz w:val="20"/>
        </w:rPr>
        <w:t>-</w:t>
      </w:r>
      <w:r w:rsidRPr="00D306EA">
        <w:rPr>
          <w:rFonts w:ascii="DINOT-Regular" w:hAnsi="DINOT-Regular"/>
          <w:sz w:val="20"/>
        </w:rPr>
        <w:t>H (module de coin)</w:t>
      </w:r>
    </w:p>
    <w:p w14:paraId="3AA2D395" w14:textId="77777777" w:rsidR="00ED5592" w:rsidRPr="00D306EA" w:rsidRDefault="009F1E35" w:rsidP="00675958">
      <w:pPr>
        <w:rPr>
          <w:rFonts w:ascii="DINOT-Regular" w:hAnsi="DINOT-Regular"/>
          <w:sz w:val="20"/>
        </w:rPr>
      </w:pPr>
      <w:r w:rsidRPr="00D306EA">
        <w:rPr>
          <w:rFonts w:ascii="DINOT-Regular" w:hAnsi="DINOT-Regular"/>
          <w:sz w:val="20"/>
        </w:rPr>
        <w:t xml:space="preserve"> </w:t>
      </w:r>
      <w:r w:rsidR="00ED5592" w:rsidRPr="00D306EA">
        <w:rPr>
          <w:rFonts w:ascii="DINOT-Regular" w:hAnsi="DINOT-Regular"/>
          <w:sz w:val="20"/>
        </w:rPr>
        <w:t xml:space="preserve">                                        </w:t>
      </w:r>
      <w:r w:rsidR="00B73283" w:rsidRPr="00D306EA">
        <w:rPr>
          <w:rFonts w:ascii="DINOT-Regular" w:hAnsi="DINOT-Regular"/>
          <w:sz w:val="20"/>
        </w:rPr>
        <w:t>-</w:t>
      </w:r>
      <w:r w:rsidR="00ED5592" w:rsidRPr="00D306EA">
        <w:rPr>
          <w:rFonts w:ascii="DINOT-Regular" w:hAnsi="DINOT-Regular"/>
          <w:sz w:val="20"/>
        </w:rPr>
        <w:t>M (module de centre)</w:t>
      </w:r>
    </w:p>
    <w:p w14:paraId="3AA2D396" w14:textId="77777777" w:rsidR="00ED5592" w:rsidRPr="00D306EA" w:rsidRDefault="00ED5592" w:rsidP="00675958">
      <w:pPr>
        <w:rPr>
          <w:rFonts w:ascii="DINOT-Regular" w:hAnsi="DINOT-Regular"/>
          <w:sz w:val="20"/>
        </w:rPr>
      </w:pPr>
      <w:r w:rsidRPr="00D306EA">
        <w:rPr>
          <w:rFonts w:ascii="DINOT-Regular" w:hAnsi="DINOT-Regular"/>
          <w:sz w:val="20"/>
        </w:rPr>
        <w:t xml:space="preserve">                                         </w:t>
      </w:r>
      <w:r w:rsidR="00B73283" w:rsidRPr="00D306EA">
        <w:rPr>
          <w:rFonts w:ascii="DINOT-Regular" w:hAnsi="DINOT-Regular"/>
          <w:sz w:val="20"/>
        </w:rPr>
        <w:t>-</w:t>
      </w:r>
      <w:r w:rsidRPr="00D306EA">
        <w:rPr>
          <w:rFonts w:ascii="DINOT-Regular" w:hAnsi="DINOT-Regular"/>
          <w:sz w:val="20"/>
        </w:rPr>
        <w:t xml:space="preserve">L (module de bord)      </w:t>
      </w:r>
    </w:p>
    <w:p w14:paraId="3AA2D397" w14:textId="77777777" w:rsidR="00ED5592" w:rsidRPr="00D306EA" w:rsidRDefault="00ED5592" w:rsidP="00675958">
      <w:pPr>
        <w:rPr>
          <w:rFonts w:ascii="DINOT-Regular" w:hAnsi="DINOT-Regular"/>
          <w:sz w:val="20"/>
        </w:rPr>
      </w:pPr>
    </w:p>
    <w:p w14:paraId="3AA2D398" w14:textId="77777777" w:rsidR="00992D76" w:rsidRDefault="00ED5592" w:rsidP="00675958">
      <w:pPr>
        <w:rPr>
          <w:rFonts w:ascii="DINOT-Regular" w:hAnsi="DINOT-Regular"/>
          <w:sz w:val="20"/>
        </w:rPr>
      </w:pPr>
      <w:r w:rsidRPr="000874A8">
        <w:rPr>
          <w:rFonts w:ascii="DINOT-Regular" w:hAnsi="DINOT-Regular"/>
          <w:b/>
          <w:szCs w:val="24"/>
        </w:rPr>
        <w:t>VI Suspension et structure porteuse</w:t>
      </w:r>
      <w:r w:rsidRPr="00D306EA">
        <w:rPr>
          <w:rFonts w:ascii="DINOT-Regular" w:hAnsi="DINOT-Regular"/>
          <w:b/>
          <w:sz w:val="20"/>
        </w:rPr>
        <w:cr/>
      </w:r>
      <w:r w:rsidR="00B73283" w:rsidRPr="00D306EA">
        <w:rPr>
          <w:rFonts w:ascii="DINOT-Regular" w:hAnsi="DINOT-Regular"/>
          <w:sz w:val="20"/>
        </w:rPr>
        <w:t xml:space="preserve">Les profils </w:t>
      </w:r>
      <w:proofErr w:type="spellStart"/>
      <w:r w:rsidR="00B73283" w:rsidRPr="00D306EA">
        <w:rPr>
          <w:rFonts w:ascii="DINOT-Regular" w:hAnsi="DINOT-Regular"/>
          <w:sz w:val="20"/>
        </w:rPr>
        <w:t>Colorline</w:t>
      </w:r>
      <w:proofErr w:type="spellEnd"/>
      <w:r w:rsidR="00B73283" w:rsidRPr="00D306EA">
        <w:rPr>
          <w:rFonts w:ascii="DINOT-Regular" w:hAnsi="DINOT-Regular"/>
          <w:sz w:val="20"/>
        </w:rPr>
        <w:t xml:space="preserve"> sont suspendus au moyen de barres de suspension. </w:t>
      </w:r>
    </w:p>
    <w:p w14:paraId="3AA2D399" w14:textId="77777777" w:rsidR="00B73283" w:rsidRPr="00D306EA" w:rsidRDefault="00B73283" w:rsidP="00675958">
      <w:pPr>
        <w:rPr>
          <w:rFonts w:ascii="DINOT-Regular" w:hAnsi="DINOT-Regular"/>
          <w:sz w:val="20"/>
        </w:rPr>
      </w:pPr>
      <w:r w:rsidRPr="00D306EA">
        <w:rPr>
          <w:rFonts w:ascii="DINOT-Regular" w:hAnsi="DINOT-Regular"/>
          <w:sz w:val="20"/>
        </w:rPr>
        <w:t>Barre de suspension de 3m (Ø 4mm) à couper et à plier à la longueur souhaitée.</w:t>
      </w:r>
    </w:p>
    <w:p w14:paraId="3AA2D39A" w14:textId="77777777" w:rsidR="00B73283" w:rsidRPr="00D306EA" w:rsidRDefault="00C50961" w:rsidP="00675958">
      <w:pPr>
        <w:rPr>
          <w:rFonts w:ascii="DINOT-Regular" w:hAnsi="DINOT-Regular"/>
          <w:sz w:val="20"/>
        </w:rPr>
      </w:pPr>
      <w:r w:rsidRPr="00D306EA">
        <w:rPr>
          <w:rFonts w:ascii="DINOT-Regular" w:hAnsi="DINOT-Regular"/>
          <w:sz w:val="20"/>
        </w:rPr>
        <w:t>Les étriers doivent être appliqués à une inter distance maximale de 1200mm.</w:t>
      </w:r>
    </w:p>
    <w:p w14:paraId="3AA2D39B" w14:textId="77777777" w:rsidR="00B73283" w:rsidRPr="00D306EA" w:rsidRDefault="00C50961" w:rsidP="00675958">
      <w:pPr>
        <w:rPr>
          <w:rFonts w:ascii="DINOT-Regular" w:hAnsi="DINOT-Regular"/>
          <w:b/>
          <w:sz w:val="20"/>
        </w:rPr>
      </w:pPr>
      <w:r w:rsidRPr="00D306EA">
        <w:rPr>
          <w:rFonts w:ascii="DINOT-Regular" w:hAnsi="DINOT-Regular"/>
          <w:sz w:val="20"/>
        </w:rPr>
        <w:t>Le plafond est nivelé au moyen de ressorts de réglage.</w:t>
      </w:r>
    </w:p>
    <w:p w14:paraId="3AA2D39C" w14:textId="77777777" w:rsidR="00B73283" w:rsidRPr="00D306EA" w:rsidRDefault="00B73283" w:rsidP="00675958">
      <w:pPr>
        <w:rPr>
          <w:rFonts w:ascii="DINOT-Regular" w:hAnsi="DINOT-Regular"/>
          <w:b/>
          <w:sz w:val="20"/>
        </w:rPr>
      </w:pPr>
    </w:p>
    <w:p w14:paraId="3AA2D39D" w14:textId="77777777" w:rsidR="00E51D80" w:rsidRPr="00D306EA" w:rsidRDefault="00ED5592" w:rsidP="00675958">
      <w:pPr>
        <w:rPr>
          <w:rFonts w:ascii="DINOT-Regular" w:hAnsi="DINOT-Regular"/>
          <w:color w:val="FF0000"/>
          <w:sz w:val="20"/>
        </w:rPr>
      </w:pPr>
      <w:r w:rsidRPr="000874A8">
        <w:rPr>
          <w:rFonts w:ascii="DINOT-Regular" w:hAnsi="DINOT-Regular"/>
          <w:b/>
          <w:szCs w:val="24"/>
        </w:rPr>
        <w:t>VII Finition périphérique</w:t>
      </w:r>
      <w:r w:rsidRPr="00D306EA">
        <w:rPr>
          <w:rFonts w:ascii="DINOT-Regular" w:hAnsi="DINOT-Regular"/>
          <w:b/>
          <w:sz w:val="20"/>
        </w:rPr>
        <w:cr/>
      </w:r>
      <w:r w:rsidRPr="00D306EA">
        <w:rPr>
          <w:rFonts w:ascii="DINOT-Regular" w:hAnsi="DINOT-Regular"/>
          <w:sz w:val="20"/>
        </w:rPr>
        <w:t>Les raccords muraux peuvent être finis au moyen de</w:t>
      </w:r>
      <w:r w:rsidRPr="00D306EA">
        <w:rPr>
          <w:rFonts w:ascii="DINOT-Regular" w:hAnsi="DINOT-Regular"/>
          <w:b/>
          <w:sz w:val="20"/>
        </w:rPr>
        <w:t xml:space="preserve"> </w:t>
      </w:r>
      <w:r w:rsidRPr="00D306EA">
        <w:rPr>
          <w:rFonts w:ascii="DINOT-Regular" w:hAnsi="DINOT-Regular"/>
          <w:sz w:val="20"/>
        </w:rPr>
        <w:t>:</w:t>
      </w:r>
      <w:r w:rsidRPr="00D306EA">
        <w:rPr>
          <w:rFonts w:ascii="DINOT-Regular" w:hAnsi="DINOT-Regular"/>
          <w:sz w:val="20"/>
        </w:rPr>
        <w:cr/>
        <w:t>- profilés C en acier 0,8mm à bords droits. La livraison du profilé C s'accompagne en option de gâchettes qui veillent à ce que la dalle soit bien appliquée contre la finition périphérique.</w:t>
      </w:r>
      <w:r w:rsidRPr="00D306EA">
        <w:rPr>
          <w:rFonts w:ascii="DINOT-Regular" w:hAnsi="DINOT-Regular"/>
          <w:sz w:val="20"/>
        </w:rPr>
        <w:cr/>
        <w:t>- profilés L en acier 0,8mm avec rebords. Tous les profilés de la finition périphérique sont toujours livrés par longueur de 3m.</w:t>
      </w:r>
      <w:r w:rsidRPr="00D306EA">
        <w:rPr>
          <w:rFonts w:ascii="DINOT-Regular" w:hAnsi="DINOT-Regular"/>
          <w:sz w:val="20"/>
        </w:rPr>
        <w:cr/>
      </w:r>
      <w:r w:rsidR="00557FFB" w:rsidRPr="00D306EA">
        <w:rPr>
          <w:rFonts w:ascii="DINOT-Regular" w:hAnsi="DINOT-Regular"/>
          <w:sz w:val="20"/>
        </w:rPr>
        <w:t xml:space="preserve">Les dalles DROP et profils </w:t>
      </w:r>
      <w:proofErr w:type="spellStart"/>
      <w:r w:rsidR="00557FFB" w:rsidRPr="00D306EA">
        <w:rPr>
          <w:rFonts w:ascii="DINOT-Regular" w:hAnsi="DINOT-Regular"/>
          <w:sz w:val="20"/>
        </w:rPr>
        <w:t>Colorline</w:t>
      </w:r>
      <w:proofErr w:type="spellEnd"/>
      <w:r w:rsidR="00557FFB" w:rsidRPr="00D306EA">
        <w:rPr>
          <w:rFonts w:ascii="DINOT-Regular" w:hAnsi="DINOT-Regular"/>
          <w:sz w:val="20"/>
        </w:rPr>
        <w:t xml:space="preserve"> présentant un renfoncement de </w:t>
      </w:r>
      <w:smartTag w:uri="urn:schemas-microsoft-com:office:smarttags" w:element="metricconverter">
        <w:smartTagPr>
          <w:attr w:name="ProductID" w:val="8 mm"/>
        </w:smartTagPr>
        <w:r w:rsidR="00557FFB" w:rsidRPr="00D306EA">
          <w:rPr>
            <w:rFonts w:ascii="DINOT-Regular" w:hAnsi="DINOT-Regular"/>
            <w:sz w:val="20"/>
          </w:rPr>
          <w:t>8 mm</w:t>
        </w:r>
      </w:smartTag>
      <w:r w:rsidR="00557FFB" w:rsidRPr="00D306EA">
        <w:rPr>
          <w:rFonts w:ascii="DINOT-Regular" w:hAnsi="DINOT-Regular"/>
          <w:sz w:val="20"/>
        </w:rPr>
        <w:t xml:space="preserve">, il faut tenir compte du fait que les profils périphériques doivent être montés </w:t>
      </w:r>
      <w:smartTag w:uri="urn:schemas-microsoft-com:office:smarttags" w:element="metricconverter">
        <w:smartTagPr>
          <w:attr w:name="ProductID" w:val="8 mm"/>
        </w:smartTagPr>
        <w:r w:rsidR="00557FFB" w:rsidRPr="00D306EA">
          <w:rPr>
            <w:rFonts w:ascii="DINOT-Regular" w:hAnsi="DINOT-Regular"/>
            <w:sz w:val="20"/>
          </w:rPr>
          <w:t>8 mm</w:t>
        </w:r>
      </w:smartTag>
      <w:r w:rsidR="00557FFB" w:rsidRPr="00D306EA">
        <w:rPr>
          <w:rFonts w:ascii="DINOT-Regular" w:hAnsi="DINOT-Regular"/>
          <w:sz w:val="20"/>
        </w:rPr>
        <w:t xml:space="preserve"> plus bas que la structure porteuse.</w:t>
      </w:r>
    </w:p>
    <w:p w14:paraId="3AA2D39E" w14:textId="77777777" w:rsidR="00ED5592" w:rsidRPr="000874A8" w:rsidRDefault="00ED5592" w:rsidP="00675958">
      <w:pPr>
        <w:rPr>
          <w:rFonts w:ascii="DINOT-Regular" w:hAnsi="DINOT-Regular"/>
          <w:b/>
          <w:szCs w:val="24"/>
        </w:rPr>
      </w:pPr>
      <w:r w:rsidRPr="00D306EA">
        <w:rPr>
          <w:rFonts w:ascii="DINOT-Regular" w:hAnsi="DINOT-Regular"/>
          <w:sz w:val="20"/>
        </w:rPr>
        <w:cr/>
      </w:r>
      <w:r w:rsidRPr="000874A8">
        <w:rPr>
          <w:rFonts w:ascii="DINOT-Regular" w:hAnsi="DINOT-Regular"/>
          <w:b/>
          <w:szCs w:val="24"/>
        </w:rPr>
        <w:t xml:space="preserve"> VIII Modules d'éclairage</w:t>
      </w:r>
    </w:p>
    <w:p w14:paraId="3AA2D39F" w14:textId="77777777" w:rsidR="00ED5592" w:rsidRPr="00D306EA" w:rsidRDefault="00ED5592" w:rsidP="00675958">
      <w:pPr>
        <w:rPr>
          <w:rFonts w:ascii="DINOT-Regular" w:hAnsi="DINOT-Regular"/>
          <w:sz w:val="20"/>
        </w:rPr>
      </w:pPr>
      <w:r w:rsidRPr="00D306EA">
        <w:rPr>
          <w:rFonts w:ascii="DINOT-Regular" w:hAnsi="DINOT-Regular"/>
          <w:sz w:val="20"/>
        </w:rPr>
        <w:t>Tous les modules d'éclairage sont chaque fois munis d'une dalle à repères tracés au laser (teinte et fabrication similaires) de sorte que l'armature d'éclairage s'accorde parfaitement au plafond. De cette manière, l'éclairage est intégré au plafond et constitue un tout concordant.</w:t>
      </w:r>
    </w:p>
    <w:p w14:paraId="3AA2D3A0" w14:textId="77777777" w:rsidR="00ED5592" w:rsidRPr="00D306EA" w:rsidRDefault="00ED5592" w:rsidP="00675958">
      <w:pPr>
        <w:rPr>
          <w:rFonts w:ascii="DINOT-Regular" w:hAnsi="DINOT-Regular"/>
          <w:sz w:val="20"/>
        </w:rPr>
      </w:pPr>
      <w:r w:rsidRPr="00D306EA">
        <w:rPr>
          <w:rFonts w:ascii="DINOT-Regular" w:hAnsi="DINOT-Regular"/>
          <w:sz w:val="20"/>
        </w:rPr>
        <w:t xml:space="preserve">Tous les modules d'éclairage sont conçus selon les normes européennes EN 60598. Les modules d'éclairage sont toujours </w:t>
      </w:r>
      <w:r w:rsidR="00E51D80" w:rsidRPr="00D306EA">
        <w:rPr>
          <w:rFonts w:ascii="DINOT-Regular" w:hAnsi="DINOT-Regular"/>
          <w:sz w:val="20"/>
        </w:rPr>
        <w:t>pré câblés</w:t>
      </w:r>
      <w:r w:rsidRPr="00D306EA">
        <w:rPr>
          <w:rFonts w:ascii="DINOT-Regular" w:hAnsi="DINOT-Regular"/>
          <w:sz w:val="20"/>
        </w:rPr>
        <w:t xml:space="preserve"> et munis d'une fiche. De cette manière, il ne reste plus à l'installateur de plafond qu'à brancher la fiche dans les prises de courant montées préalablement (en option avec fiche Wieland).</w:t>
      </w:r>
    </w:p>
    <w:p w14:paraId="3AA2D3A1" w14:textId="77777777" w:rsidR="00ED5592" w:rsidRPr="00156376" w:rsidRDefault="00ED5592" w:rsidP="00675958">
      <w:pPr>
        <w:rPr>
          <w:rFonts w:ascii="DINOT-Regular" w:hAnsi="DINOT-Regular"/>
          <w:sz w:val="22"/>
        </w:rPr>
      </w:pPr>
      <w:r w:rsidRPr="00D306EA">
        <w:rPr>
          <w:rFonts w:ascii="DINOT-Regular" w:hAnsi="DINOT-Regular"/>
          <w:sz w:val="20"/>
        </w:rPr>
        <w:t xml:space="preserve">Tous les modules d'éclairage sont </w:t>
      </w:r>
      <w:proofErr w:type="gramStart"/>
      <w:r w:rsidRPr="00D306EA">
        <w:rPr>
          <w:rFonts w:ascii="DINOT-Regular" w:hAnsi="DINOT-Regular"/>
          <w:sz w:val="20"/>
        </w:rPr>
        <w:t>posées</w:t>
      </w:r>
      <w:proofErr w:type="gramEnd"/>
      <w:r w:rsidRPr="00D306EA">
        <w:rPr>
          <w:rFonts w:ascii="DINOT-Regular" w:hAnsi="DINOT-Regular"/>
          <w:sz w:val="20"/>
        </w:rPr>
        <w:t xml:space="preserve"> via un pontage réglable sur la structure porteuse. Ceci afin d'éviter l'affaissement des dalles. Tous les modules d’éclairage sont </w:t>
      </w:r>
      <w:proofErr w:type="gramStart"/>
      <w:r w:rsidRPr="00D306EA">
        <w:rPr>
          <w:rFonts w:ascii="DINOT-Regular" w:hAnsi="DINOT-Regular"/>
          <w:sz w:val="20"/>
        </w:rPr>
        <w:t>montées</w:t>
      </w:r>
      <w:proofErr w:type="gramEnd"/>
      <w:r w:rsidRPr="00D306EA">
        <w:rPr>
          <w:rFonts w:ascii="DINOT-Regular" w:hAnsi="DINOT-Regular"/>
          <w:sz w:val="20"/>
        </w:rPr>
        <w:t xml:space="preserve"> « </w:t>
      </w:r>
      <w:proofErr w:type="spellStart"/>
      <w:r w:rsidRPr="00D306EA">
        <w:rPr>
          <w:rFonts w:ascii="DINOT-Regular" w:hAnsi="DINOT-Regular"/>
          <w:sz w:val="20"/>
        </w:rPr>
        <w:t>trimless</w:t>
      </w:r>
      <w:proofErr w:type="spellEnd"/>
      <w:r w:rsidRPr="00D306EA">
        <w:rPr>
          <w:rFonts w:ascii="DINOT-Regular" w:hAnsi="DINOT-Regular"/>
          <w:sz w:val="20"/>
        </w:rPr>
        <w:t xml:space="preserve"> » dans le plafond. </w:t>
      </w:r>
    </w:p>
    <w:p w14:paraId="3AA2D3A2" w14:textId="77777777" w:rsidR="00ED5592" w:rsidRPr="00156376" w:rsidRDefault="00ED5592" w:rsidP="00675958">
      <w:pPr>
        <w:rPr>
          <w:rFonts w:ascii="DINOT-Regular" w:hAnsi="DINOT-Regular"/>
          <w:sz w:val="22"/>
        </w:rPr>
      </w:pPr>
    </w:p>
    <w:p w14:paraId="3AA2D3A3" w14:textId="1443AF99" w:rsidR="00ED5592" w:rsidRPr="000874A8" w:rsidRDefault="00ED5592" w:rsidP="00675958">
      <w:pPr>
        <w:rPr>
          <w:rFonts w:ascii="DINOT-Regular" w:hAnsi="DINOT-Regular"/>
          <w:b/>
          <w:szCs w:val="24"/>
        </w:rPr>
      </w:pPr>
      <w:r w:rsidRPr="000874A8">
        <w:rPr>
          <w:rFonts w:ascii="DINOT-Regular" w:hAnsi="DINOT-Regular"/>
          <w:b/>
          <w:szCs w:val="24"/>
        </w:rPr>
        <w:t>IX Dalle</w:t>
      </w:r>
      <w:r w:rsidR="003460BA" w:rsidRPr="000874A8">
        <w:rPr>
          <w:rFonts w:ascii="DINOT-Regular" w:hAnsi="DINOT-Regular"/>
          <w:b/>
          <w:szCs w:val="24"/>
        </w:rPr>
        <w:t>s</w:t>
      </w:r>
      <w:r w:rsidRPr="000874A8">
        <w:rPr>
          <w:rFonts w:ascii="DINOT-Regular" w:hAnsi="DINOT-Regular"/>
          <w:b/>
          <w:szCs w:val="24"/>
        </w:rPr>
        <w:t xml:space="preserve"> de ventilation</w:t>
      </w:r>
    </w:p>
    <w:p w14:paraId="3AA2D3A4" w14:textId="34466939" w:rsidR="00FF0A41" w:rsidRPr="00FE0552" w:rsidRDefault="00FF0A41" w:rsidP="00675958">
      <w:pPr>
        <w:rPr>
          <w:rFonts w:ascii="DINOT-Regular" w:hAnsi="DINOT-Regular"/>
          <w:sz w:val="20"/>
          <w:lang w:val="fr-BE"/>
        </w:rPr>
      </w:pPr>
      <w:r w:rsidRPr="00FE0552">
        <w:rPr>
          <w:rFonts w:ascii="DINOT-Regular" w:hAnsi="DINOT-Regular"/>
          <w:sz w:val="20"/>
          <w:lang w:val="fr-BE"/>
        </w:rPr>
        <w:t xml:space="preserve">Ceilux peut vous offrir </w:t>
      </w:r>
      <w:r w:rsidR="003460BA">
        <w:rPr>
          <w:rFonts w:ascii="DINOT-Regular" w:hAnsi="DINOT-Regular"/>
          <w:sz w:val="20"/>
          <w:lang w:val="fr-BE"/>
        </w:rPr>
        <w:t>3</w:t>
      </w:r>
      <w:r w:rsidRPr="00FE0552">
        <w:rPr>
          <w:rFonts w:ascii="DINOT-Regular" w:hAnsi="DINOT-Regular"/>
          <w:sz w:val="20"/>
          <w:lang w:val="fr-BE"/>
        </w:rPr>
        <w:t xml:space="preserve"> types </w:t>
      </w:r>
      <w:r w:rsidR="00072583" w:rsidRPr="00FE0552">
        <w:rPr>
          <w:rFonts w:ascii="DINOT-Regular" w:hAnsi="DINOT-Regular"/>
          <w:sz w:val="20"/>
          <w:lang w:val="fr-BE"/>
        </w:rPr>
        <w:t>différents</w:t>
      </w:r>
      <w:r w:rsidRPr="00FE0552">
        <w:rPr>
          <w:rFonts w:ascii="DINOT-Regular" w:hAnsi="DINOT-Regular"/>
          <w:sz w:val="20"/>
          <w:lang w:val="fr-BE"/>
        </w:rPr>
        <w:t xml:space="preserve"> de diffuseurs tourbillon</w:t>
      </w:r>
      <w:r w:rsidR="00156376">
        <w:rPr>
          <w:rFonts w:ascii="DINOT-Regular" w:hAnsi="DINOT-Regular"/>
          <w:sz w:val="20"/>
          <w:lang w:val="fr-BE"/>
        </w:rPr>
        <w:t> :</w:t>
      </w:r>
    </w:p>
    <w:p w14:paraId="3AA2D3A5" w14:textId="77777777" w:rsidR="00FF0A41" w:rsidRPr="00FE0552" w:rsidRDefault="00FF0A41" w:rsidP="00675958">
      <w:pPr>
        <w:rPr>
          <w:rFonts w:ascii="DINOT-Regular" w:hAnsi="DINOT-Regular"/>
          <w:b/>
          <w:sz w:val="20"/>
          <w:lang w:val="fr-BE"/>
        </w:rPr>
      </w:pPr>
      <w:r w:rsidRPr="00FE0552">
        <w:rPr>
          <w:rFonts w:ascii="DINOT-Regular" w:hAnsi="DINOT-Regular"/>
          <w:b/>
          <w:sz w:val="20"/>
          <w:lang w:val="fr-BE"/>
        </w:rPr>
        <w:t>Ventilo</w:t>
      </w:r>
    </w:p>
    <w:p w14:paraId="3AA2D3A6" w14:textId="77777777" w:rsidR="00FF0A41" w:rsidRPr="00FE0552" w:rsidRDefault="00FF0A41" w:rsidP="00675958">
      <w:pPr>
        <w:rPr>
          <w:rFonts w:ascii="DINOT-Regular" w:hAnsi="DINOT-Regular"/>
          <w:sz w:val="20"/>
          <w:lang w:val="fr-BE"/>
        </w:rPr>
      </w:pPr>
      <w:r w:rsidRPr="00FE0552">
        <w:rPr>
          <w:rFonts w:ascii="DINOT-Regular" w:hAnsi="DINOT-Regular"/>
          <w:sz w:val="20"/>
          <w:lang w:val="fr-BE"/>
        </w:rPr>
        <w:t>Le ventilo vous donne la possibilité de réglage par 12 ou 24 déflecteurs en forme de cercle.</w:t>
      </w:r>
    </w:p>
    <w:p w14:paraId="3AA2D3A7" w14:textId="77777777" w:rsidR="00FF0A41" w:rsidRPr="00FE0552" w:rsidRDefault="00FF0A41" w:rsidP="00675958">
      <w:pPr>
        <w:rPr>
          <w:rFonts w:ascii="DINOT-Regular" w:hAnsi="DINOT-Regular"/>
          <w:sz w:val="20"/>
          <w:lang w:val="fr-BE"/>
        </w:rPr>
      </w:pPr>
      <w:r w:rsidRPr="00FE0552">
        <w:rPr>
          <w:rFonts w:ascii="DINOT-Regular" w:hAnsi="DINOT-Regular"/>
          <w:sz w:val="20"/>
          <w:lang w:val="fr-BE"/>
        </w:rPr>
        <w:t xml:space="preserve">En option nous </w:t>
      </w:r>
      <w:proofErr w:type="gramStart"/>
      <w:r w:rsidRPr="00FE0552">
        <w:rPr>
          <w:rFonts w:ascii="DINOT-Regular" w:hAnsi="DINOT-Regular"/>
          <w:sz w:val="20"/>
          <w:lang w:val="fr-BE"/>
        </w:rPr>
        <w:t>pouvons vous</w:t>
      </w:r>
      <w:proofErr w:type="gramEnd"/>
      <w:r w:rsidRPr="00FE0552">
        <w:rPr>
          <w:rFonts w:ascii="DINOT-Regular" w:hAnsi="DINOT-Regular"/>
          <w:sz w:val="20"/>
          <w:lang w:val="fr-BE"/>
        </w:rPr>
        <w:t xml:space="preserve"> fournir le plénum. Le plenum peut vous être fourni avec une </w:t>
      </w:r>
      <w:proofErr w:type="spellStart"/>
      <w:r w:rsidRPr="00FE0552">
        <w:rPr>
          <w:rFonts w:ascii="DINOT-Regular" w:hAnsi="DINOT-Regular"/>
          <w:sz w:val="20"/>
          <w:lang w:val="fr-BE"/>
        </w:rPr>
        <w:t>connection</w:t>
      </w:r>
      <w:proofErr w:type="spellEnd"/>
      <w:r w:rsidRPr="00FE0552">
        <w:rPr>
          <w:rFonts w:ascii="DINOT-Regular" w:hAnsi="DINOT-Regular"/>
          <w:sz w:val="20"/>
          <w:lang w:val="fr-BE"/>
        </w:rPr>
        <w:t xml:space="preserve"> latérale de 160 ou 200 </w:t>
      </w:r>
      <w:proofErr w:type="spellStart"/>
      <w:r w:rsidRPr="00FE0552">
        <w:rPr>
          <w:rFonts w:ascii="DINOT-Regular" w:hAnsi="DINOT-Regular"/>
          <w:sz w:val="20"/>
          <w:lang w:val="fr-BE"/>
        </w:rPr>
        <w:t>mm.</w:t>
      </w:r>
      <w:proofErr w:type="spellEnd"/>
      <w:r w:rsidRPr="00FE0552">
        <w:rPr>
          <w:rFonts w:ascii="DINOT-Regular" w:hAnsi="DINOT-Regular"/>
          <w:sz w:val="20"/>
          <w:lang w:val="fr-BE"/>
        </w:rPr>
        <w:t xml:space="preserve"> </w:t>
      </w:r>
    </w:p>
    <w:p w14:paraId="3AA2D3A8" w14:textId="77777777" w:rsidR="00FF0A41" w:rsidRPr="00FE0552" w:rsidRDefault="00FF0A41" w:rsidP="00675958">
      <w:pPr>
        <w:rPr>
          <w:rFonts w:ascii="DINOT-Regular" w:hAnsi="DINOT-Regular"/>
          <w:b/>
          <w:sz w:val="20"/>
          <w:lang w:val="fr-BE"/>
        </w:rPr>
      </w:pPr>
      <w:proofErr w:type="spellStart"/>
      <w:r w:rsidRPr="00FE0552">
        <w:rPr>
          <w:rFonts w:ascii="DINOT-Regular" w:hAnsi="DINOT-Regular"/>
          <w:b/>
          <w:sz w:val="20"/>
          <w:lang w:val="fr-BE"/>
        </w:rPr>
        <w:t>Nozzle</w:t>
      </w:r>
      <w:proofErr w:type="spellEnd"/>
    </w:p>
    <w:p w14:paraId="3AA2D3A9" w14:textId="77777777" w:rsidR="00FF0A41" w:rsidRDefault="00FF0A41" w:rsidP="00675958">
      <w:pPr>
        <w:rPr>
          <w:rFonts w:ascii="DINOT-Regular" w:hAnsi="DINOT-Regular"/>
          <w:sz w:val="20"/>
          <w:lang w:val="fr-BE"/>
        </w:rPr>
      </w:pPr>
      <w:r w:rsidRPr="00FE0552">
        <w:rPr>
          <w:rFonts w:ascii="DINOT-Regular" w:hAnsi="DINOT-Regular"/>
          <w:sz w:val="20"/>
          <w:lang w:val="fr-BE"/>
        </w:rPr>
        <w:t xml:space="preserve">La </w:t>
      </w:r>
      <w:proofErr w:type="spellStart"/>
      <w:r w:rsidRPr="00FE0552">
        <w:rPr>
          <w:rFonts w:ascii="DINOT-Regular" w:hAnsi="DINOT-Regular"/>
          <w:sz w:val="20"/>
          <w:lang w:val="fr-BE"/>
        </w:rPr>
        <w:t>gentle</w:t>
      </w:r>
      <w:proofErr w:type="spellEnd"/>
      <w:r w:rsidRPr="00FE0552">
        <w:rPr>
          <w:rFonts w:ascii="DINOT-Regular" w:hAnsi="DINOT-Regular"/>
          <w:sz w:val="20"/>
          <w:lang w:val="fr-BE"/>
        </w:rPr>
        <w:t xml:space="preserve"> </w:t>
      </w:r>
      <w:proofErr w:type="spellStart"/>
      <w:r w:rsidRPr="00FE0552">
        <w:rPr>
          <w:rFonts w:ascii="DINOT-Regular" w:hAnsi="DINOT-Regular"/>
          <w:sz w:val="20"/>
          <w:lang w:val="fr-BE"/>
        </w:rPr>
        <w:t>Nozzle</w:t>
      </w:r>
      <w:proofErr w:type="spellEnd"/>
      <w:r w:rsidRPr="00FE0552">
        <w:rPr>
          <w:rFonts w:ascii="DINOT-Regular" w:hAnsi="DINOT-Regular"/>
          <w:sz w:val="20"/>
          <w:lang w:val="fr-BE"/>
        </w:rPr>
        <w:t xml:space="preserve"> est disponible avec 36 ou 40 diffuseurs réglable et peut aussi être livrée avec le pl</w:t>
      </w:r>
      <w:r w:rsidR="00156376">
        <w:rPr>
          <w:rFonts w:ascii="DINOT-Regular" w:hAnsi="DINOT-Regular"/>
          <w:sz w:val="20"/>
          <w:lang w:val="fr-BE"/>
        </w:rPr>
        <w:t>é</w:t>
      </w:r>
      <w:r w:rsidRPr="00FE0552">
        <w:rPr>
          <w:rFonts w:ascii="DINOT-Regular" w:hAnsi="DINOT-Regular"/>
          <w:sz w:val="20"/>
          <w:lang w:val="fr-BE"/>
        </w:rPr>
        <w:t xml:space="preserve">num pour vu d’une </w:t>
      </w:r>
      <w:proofErr w:type="spellStart"/>
      <w:r w:rsidRPr="00FE0552">
        <w:rPr>
          <w:rFonts w:ascii="DINOT-Regular" w:hAnsi="DINOT-Regular"/>
          <w:sz w:val="20"/>
          <w:lang w:val="fr-BE"/>
        </w:rPr>
        <w:t>conn</w:t>
      </w:r>
      <w:r w:rsidR="00072583">
        <w:rPr>
          <w:rFonts w:ascii="DINOT-Regular" w:hAnsi="DINOT-Regular"/>
          <w:sz w:val="20"/>
          <w:lang w:val="fr-BE"/>
        </w:rPr>
        <w:t>e</w:t>
      </w:r>
      <w:r w:rsidRPr="00FE0552">
        <w:rPr>
          <w:rFonts w:ascii="DINOT-Regular" w:hAnsi="DINOT-Regular"/>
          <w:sz w:val="20"/>
          <w:lang w:val="fr-BE"/>
        </w:rPr>
        <w:t>ction</w:t>
      </w:r>
      <w:proofErr w:type="spellEnd"/>
      <w:r w:rsidRPr="00FE0552">
        <w:rPr>
          <w:rFonts w:ascii="DINOT-Regular" w:hAnsi="DINOT-Regular"/>
          <w:sz w:val="20"/>
          <w:lang w:val="fr-BE"/>
        </w:rPr>
        <w:t xml:space="preserve"> latérale de 160 ou 200 </w:t>
      </w:r>
      <w:proofErr w:type="spellStart"/>
      <w:r w:rsidRPr="00FE0552">
        <w:rPr>
          <w:rFonts w:ascii="DINOT-Regular" w:hAnsi="DINOT-Regular"/>
          <w:sz w:val="20"/>
          <w:lang w:val="fr-BE"/>
        </w:rPr>
        <w:t>mm.</w:t>
      </w:r>
      <w:proofErr w:type="spellEnd"/>
    </w:p>
    <w:p w14:paraId="3A1A9789" w14:textId="77777777" w:rsidR="00F20045" w:rsidRPr="00653335" w:rsidRDefault="00F20045" w:rsidP="00F20045">
      <w:pPr>
        <w:autoSpaceDE w:val="0"/>
        <w:autoSpaceDN w:val="0"/>
        <w:adjustRightInd w:val="0"/>
        <w:textAlignment w:val="center"/>
        <w:rPr>
          <w:rFonts w:ascii="DINOT-Regular" w:hAnsi="DINOT-Regular" w:cs="DINOT-Bold"/>
          <w:color w:val="000000"/>
          <w:sz w:val="20"/>
          <w:lang w:eastAsia="nl-BE"/>
        </w:rPr>
      </w:pPr>
      <w:r w:rsidRPr="00653335">
        <w:rPr>
          <w:rFonts w:ascii="DINOT-Regular" w:hAnsi="DINOT-Regular" w:cs="DINOT-Bold"/>
          <w:b/>
          <w:bCs/>
          <w:color w:val="000000"/>
          <w:sz w:val="20"/>
          <w:lang w:eastAsia="nl-BE"/>
        </w:rPr>
        <w:t>Halo</w:t>
      </w:r>
      <w:r w:rsidRPr="00653335">
        <w:rPr>
          <w:rFonts w:ascii="DINOT-Regular" w:hAnsi="DINOT-Regular" w:cs="DINOT-Bold"/>
          <w:color w:val="000000"/>
          <w:sz w:val="20"/>
          <w:lang w:eastAsia="nl-BE"/>
        </w:rPr>
        <w:br/>
        <w:t xml:space="preserve">Le Halo est équipé d’un diffuseur circulaire central réglable au design épuré et minimaliste, intégré dans une dalle de plafond. Le Halo est disponible avec un raccordement pour des conduits d’air d’un diamètre de 160 ou 200 </w:t>
      </w:r>
      <w:proofErr w:type="spellStart"/>
      <w:r w:rsidRPr="00653335">
        <w:rPr>
          <w:rFonts w:ascii="DINOT-Regular" w:hAnsi="DINOT-Regular" w:cs="DINOT-Bold"/>
          <w:color w:val="000000"/>
          <w:sz w:val="20"/>
          <w:lang w:eastAsia="nl-BE"/>
        </w:rPr>
        <w:t>mm.</w:t>
      </w:r>
      <w:proofErr w:type="spellEnd"/>
      <w:r w:rsidRPr="00653335">
        <w:rPr>
          <w:rFonts w:ascii="DINOT-Regular" w:hAnsi="DINOT-Regular" w:cs="DINOT-Bold"/>
          <w:color w:val="000000"/>
          <w:sz w:val="20"/>
          <w:lang w:eastAsia="nl-BE"/>
        </w:rPr>
        <w:br/>
        <w:t>En option, un clapet de réglage peut être monté.</w:t>
      </w:r>
    </w:p>
    <w:p w14:paraId="2934429B" w14:textId="77777777" w:rsidR="00F20045" w:rsidRPr="00CF408A" w:rsidRDefault="00F20045" w:rsidP="00F20045">
      <w:pPr>
        <w:autoSpaceDE w:val="0"/>
        <w:autoSpaceDN w:val="0"/>
        <w:adjustRightInd w:val="0"/>
        <w:textAlignment w:val="center"/>
        <w:rPr>
          <w:rFonts w:ascii="DINOT-Regular" w:hAnsi="DINOT-Regular" w:cs="DINOT-Regular"/>
          <w:color w:val="000000"/>
          <w:sz w:val="20"/>
          <w:lang w:eastAsia="nl-BE"/>
        </w:rPr>
      </w:pPr>
      <w:r w:rsidRPr="00CF408A">
        <w:rPr>
          <w:rFonts w:ascii="DINOT-Regular" w:hAnsi="DINOT-Regular" w:cs="DINOT-Regular"/>
          <w:color w:val="000000"/>
          <w:sz w:val="20"/>
          <w:lang w:eastAsia="nl-BE"/>
        </w:rPr>
        <w:t>N’hésitez pas à nous contacter si vous souhaitez de plus amples informations</w:t>
      </w:r>
    </w:p>
    <w:p w14:paraId="3AA2D3AC" w14:textId="77777777" w:rsidR="00ED5592" w:rsidRPr="00D306EA" w:rsidRDefault="00ED5592" w:rsidP="00675958">
      <w:pPr>
        <w:rPr>
          <w:rFonts w:ascii="DINOT-Regular" w:hAnsi="DINOT-Regular"/>
          <w:b/>
          <w:sz w:val="20"/>
        </w:rPr>
      </w:pPr>
    </w:p>
    <w:p w14:paraId="427D499C" w14:textId="77777777" w:rsidR="000874A8" w:rsidRDefault="000874A8">
      <w:pPr>
        <w:rPr>
          <w:rFonts w:ascii="DINOT-Regular" w:hAnsi="DINOT-Regular"/>
          <w:b/>
          <w:szCs w:val="24"/>
        </w:rPr>
      </w:pPr>
      <w:r>
        <w:rPr>
          <w:rFonts w:ascii="DINOT-Regular" w:hAnsi="DINOT-Regular"/>
          <w:b/>
          <w:szCs w:val="24"/>
        </w:rPr>
        <w:br w:type="page"/>
      </w:r>
    </w:p>
    <w:p w14:paraId="3AA2D3AD" w14:textId="4F7B2668" w:rsidR="00992D76" w:rsidRDefault="00ED5592" w:rsidP="00675958">
      <w:pPr>
        <w:rPr>
          <w:rFonts w:ascii="DINOT-Regular" w:hAnsi="DINOT-Regular"/>
          <w:sz w:val="20"/>
        </w:rPr>
      </w:pPr>
      <w:r w:rsidRPr="000874A8">
        <w:rPr>
          <w:rFonts w:ascii="DINOT-Regular" w:hAnsi="DINOT-Regular"/>
          <w:b/>
          <w:szCs w:val="24"/>
        </w:rPr>
        <w:lastRenderedPageBreak/>
        <w:t>X Installation</w:t>
      </w:r>
      <w:r w:rsidRPr="00D306EA">
        <w:rPr>
          <w:rFonts w:ascii="DINOT-Regular" w:hAnsi="DINOT-Regular"/>
          <w:b/>
          <w:sz w:val="20"/>
        </w:rPr>
        <w:cr/>
      </w:r>
      <w:r w:rsidRPr="00D306EA">
        <w:rPr>
          <w:rFonts w:ascii="DINOT-Regular" w:hAnsi="DINOT-Regular"/>
          <w:sz w:val="20"/>
        </w:rPr>
        <w:t>Le plafond doit être installé en conformité avec DIN 18168.</w:t>
      </w:r>
      <w:r w:rsidRPr="00D306EA">
        <w:rPr>
          <w:rFonts w:ascii="DINOT-Regular" w:hAnsi="DINOT-Regular"/>
          <w:sz w:val="20"/>
        </w:rPr>
        <w:cr/>
        <w:t xml:space="preserve">L'acheteur et/ou l'installateur doit veiller à ce que les produits Ceilux soient posés et fixés selon les règles de l'art et conformément aux instructions et aux recommandations du vendeur telles qu'elles ressortent notamment du cahier des charges. </w:t>
      </w:r>
    </w:p>
    <w:p w14:paraId="3AA2D3AE" w14:textId="77777777" w:rsidR="000329FE" w:rsidRPr="00FF0A41" w:rsidRDefault="00ED5592" w:rsidP="00675958">
      <w:pPr>
        <w:rPr>
          <w:rFonts w:ascii="DINOT-Regular" w:hAnsi="DINOT-Regular"/>
        </w:rPr>
      </w:pPr>
      <w:r w:rsidRPr="00D306EA">
        <w:rPr>
          <w:rFonts w:ascii="DINOT-Regular" w:hAnsi="DINOT-Regular"/>
          <w:sz w:val="20"/>
        </w:rPr>
        <w:t xml:space="preserve">Ce cahier des charges est sensé connu ou est fourni à la première demande. Si des exigences spécifiques sont définies en matière de fixation, de résistance au feu, </w:t>
      </w:r>
      <w:r w:rsidR="00E51D80" w:rsidRPr="00D306EA">
        <w:rPr>
          <w:rFonts w:ascii="DINOT-Regular" w:hAnsi="DINOT-Regular"/>
          <w:sz w:val="20"/>
        </w:rPr>
        <w:t>etc.</w:t>
      </w:r>
      <w:r w:rsidRPr="00D306EA">
        <w:rPr>
          <w:rFonts w:ascii="DINOT-Regular" w:hAnsi="DINOT-Regular"/>
          <w:sz w:val="20"/>
        </w:rPr>
        <w:t>… le vendeur/l'installateur est tenu de demander un conseil technique préalablement et par écrit à Ceilux, à défaut duquel Ceilux est dégagée de toute responsabilité éventuelle.</w:t>
      </w:r>
      <w:r w:rsidRPr="00D306EA">
        <w:rPr>
          <w:rFonts w:ascii="DINOT-Regular" w:hAnsi="DINOT-Regular"/>
          <w:sz w:val="20"/>
        </w:rPr>
        <w:cr/>
      </w:r>
    </w:p>
    <w:sectPr w:rsidR="000329FE" w:rsidRPr="00FF0A41" w:rsidSect="00582DA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6621" w14:textId="77777777" w:rsidR="0071081D" w:rsidRDefault="0071081D" w:rsidP="00156376">
      <w:r>
        <w:separator/>
      </w:r>
    </w:p>
  </w:endnote>
  <w:endnote w:type="continuationSeparator" w:id="0">
    <w:p w14:paraId="70A1EB0E" w14:textId="77777777" w:rsidR="0071081D" w:rsidRDefault="0071081D" w:rsidP="0015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INOT-Regular">
    <w:altName w:val="Calibri"/>
    <w:charset w:val="00"/>
    <w:family w:val="modern"/>
    <w:notTrueType/>
    <w:pitch w:val="variable"/>
    <w:sig w:usb0="800000AF" w:usb1="4000206A" w:usb2="00000000" w:usb3="00000000" w:csb0="00000001" w:csb1="00000000"/>
  </w:font>
  <w:font w:name="DINOT-Bold">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F8A4" w14:textId="655FA790" w:rsidR="009E4DAD" w:rsidRDefault="009E4DAD" w:rsidP="009E4DAD">
    <w:pPr>
      <w:pStyle w:val="Voettekst"/>
      <w:rPr>
        <w:rFonts w:ascii="DINOT-Regular" w:hAnsi="DINOT-Regular"/>
        <w:sz w:val="18"/>
        <w:szCs w:val="18"/>
        <w:lang w:val="nl-NL"/>
      </w:rPr>
    </w:pPr>
    <w:r>
      <w:rPr>
        <w:rFonts w:ascii="DINOT-Regular" w:hAnsi="DINOT-Regular"/>
        <w:sz w:val="18"/>
        <w:szCs w:val="18"/>
        <w:lang w:val="nl-NL"/>
      </w:rPr>
      <w:t>………………………………………………………………………………………………………………………………………………………………………………………..…………..……</w:t>
    </w:r>
  </w:p>
  <w:p w14:paraId="40089334" w14:textId="77777777" w:rsidR="009E4DAD" w:rsidRPr="00D43288" w:rsidRDefault="009E4DAD" w:rsidP="009E4DAD">
    <w:pPr>
      <w:pStyle w:val="Voettekst"/>
      <w:jc w:val="center"/>
      <w:rPr>
        <w:rFonts w:ascii="DINOT-Regular" w:hAnsi="DINOT-Regular"/>
        <w:sz w:val="18"/>
        <w:szCs w:val="18"/>
      </w:rPr>
    </w:pPr>
    <w:r w:rsidRPr="009B516D">
      <w:rPr>
        <w:rFonts w:ascii="DINOT-Regular" w:hAnsi="DINOT-Regular"/>
        <w:sz w:val="18"/>
        <w:szCs w:val="18"/>
        <w:lang w:val="nl-NL"/>
      </w:rPr>
      <w:t>CEILUX NV</w:t>
    </w:r>
    <w:r>
      <w:rPr>
        <w:rFonts w:ascii="DINOT-Regular" w:hAnsi="DINOT-Regular"/>
        <w:sz w:val="18"/>
        <w:szCs w:val="18"/>
        <w:lang w:val="nl-NL"/>
      </w:rPr>
      <w:t xml:space="preserve"> </w:t>
    </w:r>
    <w:proofErr w:type="gramStart"/>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proofErr w:type="gramStart"/>
    <w:r>
      <w:rPr>
        <w:rFonts w:ascii="DINOT-Regular" w:hAnsi="DINOT-Regular"/>
        <w:sz w:val="18"/>
        <w:szCs w:val="18"/>
        <w:lang w:val="nl-NL"/>
      </w:rPr>
      <w:t xml:space="preserve"> </w:t>
    </w:r>
    <w:r w:rsidRPr="009B516D">
      <w:rPr>
        <w:rFonts w:ascii="DINOT-Regular" w:hAnsi="DINOT-Regular"/>
        <w:sz w:val="18"/>
        <w:szCs w:val="18"/>
        <w:lang w:val="nl-NL"/>
      </w:rPr>
      <w:t xml:space="preserve"> .</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proofErr w:type="gramStart"/>
    <w:r>
      <w:rPr>
        <w:rFonts w:ascii="DINOT-Regular" w:hAnsi="DINOT-Regular"/>
        <w:sz w:val="18"/>
        <w:szCs w:val="18"/>
        <w:lang w:val="nl-NL"/>
      </w:rPr>
      <w:t xml:space="preserve">  </w:t>
    </w:r>
    <w:r w:rsidRPr="009B516D">
      <w:rPr>
        <w:rFonts w:ascii="DINOT-Regular" w:hAnsi="DINOT-Regular"/>
        <w:sz w:val="18"/>
        <w:szCs w:val="18"/>
        <w:lang w:val="nl-NL"/>
      </w:rPr>
      <w:t>.</w:t>
    </w:r>
    <w:proofErr w:type="gramEnd"/>
    <w:r w:rsidRPr="009B516D">
      <w:rPr>
        <w:rFonts w:ascii="DINOT-Regular" w:hAnsi="DINOT-Regular"/>
        <w:sz w:val="18"/>
        <w:szCs w:val="18"/>
        <w:lang w:val="nl-NL"/>
      </w:rPr>
      <w:t xml:space="preserve"> </w:t>
    </w:r>
    <w:r>
      <w:rPr>
        <w:rFonts w:ascii="DINOT-Regular" w:hAnsi="DINOT-Regular"/>
        <w:sz w:val="18"/>
        <w:szCs w:val="18"/>
        <w:lang w:val="nl-NL"/>
      </w:rPr>
      <w:t xml:space="preserve">  </w:t>
    </w:r>
    <w:r w:rsidRPr="00EB2DD4">
      <w:rPr>
        <w:rFonts w:ascii="DINOT-Regular" w:hAnsi="DINOT-Regular"/>
        <w:sz w:val="18"/>
        <w:szCs w:val="18"/>
        <w:lang w:val="nl-BE"/>
      </w:rPr>
      <w:t xml:space="preserve">T +32 (0)55 312 100 </w:t>
    </w:r>
    <w:proofErr w:type="gramStart"/>
    <w:r w:rsidRPr="00EB2DD4">
      <w:rPr>
        <w:rFonts w:ascii="DINOT-Regular" w:hAnsi="DINOT-Regular"/>
        <w:sz w:val="18"/>
        <w:szCs w:val="18"/>
        <w:lang w:val="nl-BE"/>
      </w:rPr>
      <w:t xml:space="preserve">  .</w:t>
    </w:r>
    <w:proofErr w:type="gramEnd"/>
    <w:r w:rsidRPr="00EB2DD4">
      <w:rPr>
        <w:rFonts w:ascii="DINOT-Regular" w:hAnsi="DINOT-Regular"/>
        <w:sz w:val="18"/>
        <w:szCs w:val="18"/>
        <w:lang w:val="nl-BE"/>
      </w:rPr>
      <w:t xml:space="preserve">   INFO@CEILUX.COM </w:t>
    </w:r>
    <w:proofErr w:type="gramStart"/>
    <w:r w:rsidRPr="00EB2DD4">
      <w:rPr>
        <w:rFonts w:ascii="DINOT-Regular" w:hAnsi="DINOT-Regular"/>
        <w:sz w:val="18"/>
        <w:szCs w:val="18"/>
        <w:lang w:val="nl-BE"/>
      </w:rPr>
      <w:t xml:space="preserve">  .</w:t>
    </w:r>
    <w:proofErr w:type="gramEnd"/>
    <w:r w:rsidRPr="00EB2DD4">
      <w:rPr>
        <w:rFonts w:ascii="DINOT-Regular" w:hAnsi="DINOT-Regular"/>
        <w:sz w:val="18"/>
        <w:szCs w:val="18"/>
        <w:lang w:val="nl-BE"/>
      </w:rPr>
      <w:t xml:space="preserve">   </w:t>
    </w:r>
    <w:r w:rsidRPr="00934A1D">
      <w:rPr>
        <w:rFonts w:ascii="DINOT-Regular" w:hAnsi="DINOT-Regular"/>
        <w:sz w:val="18"/>
        <w:szCs w:val="18"/>
      </w:rPr>
      <w:t>WWW.CEILUX.COM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42B9" w14:textId="77777777" w:rsidR="0071081D" w:rsidRDefault="0071081D" w:rsidP="00156376">
      <w:r>
        <w:separator/>
      </w:r>
    </w:p>
  </w:footnote>
  <w:footnote w:type="continuationSeparator" w:id="0">
    <w:p w14:paraId="26E47E00" w14:textId="77777777" w:rsidR="0071081D" w:rsidRDefault="0071081D" w:rsidP="0015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7C97" w14:textId="77777777" w:rsidR="00337FA4" w:rsidRPr="00692A08" w:rsidRDefault="00337FA4" w:rsidP="00337FA4">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214D7605" wp14:editId="33B55E68">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sidRPr="00692A08">
      <w:rPr>
        <w:rFonts w:ascii="DINOT-Regular" w:hAnsi="DINOT-Regular"/>
        <w:sz w:val="18"/>
        <w:szCs w:val="18"/>
        <w:lang w:val="nl-BE"/>
      </w:rPr>
      <w:t>LASTENBOEK</w:t>
    </w:r>
  </w:p>
  <w:p w14:paraId="531A8FE9" w14:textId="77777777" w:rsidR="00337FA4" w:rsidRDefault="00337FA4" w:rsidP="00337FA4">
    <w:pPr>
      <w:pStyle w:val="Koptekst"/>
      <w:spacing w:line="120" w:lineRule="auto"/>
      <w:rPr>
        <w:lang w:val="nl-BE"/>
      </w:rPr>
    </w:pPr>
    <w:r>
      <w:rPr>
        <w:lang w:val="nl-BE"/>
      </w:rPr>
      <w:t>………………………………………………………………………………………………….….</w:t>
    </w:r>
  </w:p>
  <w:p w14:paraId="3D0FBC6E" w14:textId="54491E93" w:rsidR="00337FA4" w:rsidRPr="00692A08" w:rsidRDefault="00307A31" w:rsidP="00337FA4">
    <w:pPr>
      <w:pStyle w:val="Koptekst"/>
      <w:tabs>
        <w:tab w:val="clear" w:pos="9072"/>
        <w:tab w:val="left" w:pos="4536"/>
      </w:tabs>
      <w:rPr>
        <w:sz w:val="28"/>
        <w:szCs w:val="28"/>
        <w:lang w:val="nl-BE"/>
      </w:rPr>
    </w:pPr>
    <w:r>
      <w:rPr>
        <w:sz w:val="28"/>
        <w:szCs w:val="28"/>
        <w:lang w:val="nl-BE"/>
      </w:rPr>
      <w:t>SYST</w:t>
    </w:r>
    <w:r w:rsidR="0096332C">
      <w:rPr>
        <w:sz w:val="28"/>
        <w:szCs w:val="28"/>
        <w:lang w:val="nl-BE"/>
      </w:rPr>
      <w:t>EME COLORLINE</w:t>
    </w:r>
    <w:r w:rsidR="00337FA4">
      <w:rPr>
        <w:sz w:val="28"/>
        <w:szCs w:val="28"/>
        <w:lang w:val="nl-BE"/>
      </w:rPr>
      <w:tab/>
    </w:r>
  </w:p>
  <w:p w14:paraId="3AA2D3B3" w14:textId="1CBEDA54" w:rsidR="00156376" w:rsidRDefault="001563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4E2B"/>
    <w:multiLevelType w:val="hybridMultilevel"/>
    <w:tmpl w:val="3126F97A"/>
    <w:lvl w:ilvl="0" w:tplc="78B2B194">
      <w:numFmt w:val="bullet"/>
      <w:lvlText w:val="-"/>
      <w:lvlJc w:val="left"/>
      <w:pPr>
        <w:tabs>
          <w:tab w:val="num" w:pos="930"/>
        </w:tabs>
        <w:ind w:left="930" w:hanging="360"/>
      </w:pPr>
      <w:rPr>
        <w:rFonts w:ascii="Verdana" w:eastAsia="Verdana" w:hAnsi="Verdana" w:cs="Times New Roman" w:hint="default"/>
      </w:rPr>
    </w:lvl>
    <w:lvl w:ilvl="1" w:tplc="04130003" w:tentative="1">
      <w:start w:val="1"/>
      <w:numFmt w:val="bullet"/>
      <w:lvlText w:val="o"/>
      <w:lvlJc w:val="left"/>
      <w:pPr>
        <w:tabs>
          <w:tab w:val="num" w:pos="1650"/>
        </w:tabs>
        <w:ind w:left="1650" w:hanging="360"/>
      </w:pPr>
      <w:rPr>
        <w:rFonts w:ascii="Courier New" w:hAnsi="Courier New" w:cs="Courier New" w:hint="default"/>
      </w:rPr>
    </w:lvl>
    <w:lvl w:ilvl="2" w:tplc="04130005" w:tentative="1">
      <w:start w:val="1"/>
      <w:numFmt w:val="bullet"/>
      <w:lvlText w:val=""/>
      <w:lvlJc w:val="left"/>
      <w:pPr>
        <w:tabs>
          <w:tab w:val="num" w:pos="2370"/>
        </w:tabs>
        <w:ind w:left="2370" w:hanging="360"/>
      </w:pPr>
      <w:rPr>
        <w:rFonts w:ascii="Wingdings" w:hAnsi="Wingdings" w:hint="default"/>
      </w:rPr>
    </w:lvl>
    <w:lvl w:ilvl="3" w:tplc="04130001" w:tentative="1">
      <w:start w:val="1"/>
      <w:numFmt w:val="bullet"/>
      <w:lvlText w:val=""/>
      <w:lvlJc w:val="left"/>
      <w:pPr>
        <w:tabs>
          <w:tab w:val="num" w:pos="3090"/>
        </w:tabs>
        <w:ind w:left="3090" w:hanging="360"/>
      </w:pPr>
      <w:rPr>
        <w:rFonts w:ascii="Symbol" w:hAnsi="Symbol" w:hint="default"/>
      </w:rPr>
    </w:lvl>
    <w:lvl w:ilvl="4" w:tplc="04130003" w:tentative="1">
      <w:start w:val="1"/>
      <w:numFmt w:val="bullet"/>
      <w:lvlText w:val="o"/>
      <w:lvlJc w:val="left"/>
      <w:pPr>
        <w:tabs>
          <w:tab w:val="num" w:pos="3810"/>
        </w:tabs>
        <w:ind w:left="3810" w:hanging="360"/>
      </w:pPr>
      <w:rPr>
        <w:rFonts w:ascii="Courier New" w:hAnsi="Courier New" w:cs="Courier New" w:hint="default"/>
      </w:rPr>
    </w:lvl>
    <w:lvl w:ilvl="5" w:tplc="04130005" w:tentative="1">
      <w:start w:val="1"/>
      <w:numFmt w:val="bullet"/>
      <w:lvlText w:val=""/>
      <w:lvlJc w:val="left"/>
      <w:pPr>
        <w:tabs>
          <w:tab w:val="num" w:pos="4530"/>
        </w:tabs>
        <w:ind w:left="4530" w:hanging="360"/>
      </w:pPr>
      <w:rPr>
        <w:rFonts w:ascii="Wingdings" w:hAnsi="Wingdings" w:hint="default"/>
      </w:rPr>
    </w:lvl>
    <w:lvl w:ilvl="6" w:tplc="04130001" w:tentative="1">
      <w:start w:val="1"/>
      <w:numFmt w:val="bullet"/>
      <w:lvlText w:val=""/>
      <w:lvlJc w:val="left"/>
      <w:pPr>
        <w:tabs>
          <w:tab w:val="num" w:pos="5250"/>
        </w:tabs>
        <w:ind w:left="5250" w:hanging="360"/>
      </w:pPr>
      <w:rPr>
        <w:rFonts w:ascii="Symbol" w:hAnsi="Symbol" w:hint="default"/>
      </w:rPr>
    </w:lvl>
    <w:lvl w:ilvl="7" w:tplc="04130003" w:tentative="1">
      <w:start w:val="1"/>
      <w:numFmt w:val="bullet"/>
      <w:lvlText w:val="o"/>
      <w:lvlJc w:val="left"/>
      <w:pPr>
        <w:tabs>
          <w:tab w:val="num" w:pos="5970"/>
        </w:tabs>
        <w:ind w:left="5970" w:hanging="360"/>
      </w:pPr>
      <w:rPr>
        <w:rFonts w:ascii="Courier New" w:hAnsi="Courier New" w:cs="Courier New" w:hint="default"/>
      </w:rPr>
    </w:lvl>
    <w:lvl w:ilvl="8" w:tplc="04130005" w:tentative="1">
      <w:start w:val="1"/>
      <w:numFmt w:val="bullet"/>
      <w:lvlText w:val=""/>
      <w:lvlJc w:val="left"/>
      <w:pPr>
        <w:tabs>
          <w:tab w:val="num" w:pos="6690"/>
        </w:tabs>
        <w:ind w:left="6690" w:hanging="360"/>
      </w:pPr>
      <w:rPr>
        <w:rFonts w:ascii="Wingdings" w:hAnsi="Wingdings" w:hint="default"/>
      </w:rPr>
    </w:lvl>
  </w:abstractNum>
  <w:num w:numId="1" w16cid:durableId="19153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592"/>
    <w:rsid w:val="00001B4A"/>
    <w:rsid w:val="00004DBD"/>
    <w:rsid w:val="00010CFC"/>
    <w:rsid w:val="0001395B"/>
    <w:rsid w:val="0001482D"/>
    <w:rsid w:val="00014DEB"/>
    <w:rsid w:val="00014E1F"/>
    <w:rsid w:val="00021C37"/>
    <w:rsid w:val="00024D73"/>
    <w:rsid w:val="00025C02"/>
    <w:rsid w:val="00026BCF"/>
    <w:rsid w:val="00030278"/>
    <w:rsid w:val="000329FE"/>
    <w:rsid w:val="00035387"/>
    <w:rsid w:val="000424A1"/>
    <w:rsid w:val="00044F62"/>
    <w:rsid w:val="00050F0C"/>
    <w:rsid w:val="00054181"/>
    <w:rsid w:val="000634FA"/>
    <w:rsid w:val="00070B96"/>
    <w:rsid w:val="00072583"/>
    <w:rsid w:val="0007729A"/>
    <w:rsid w:val="00080367"/>
    <w:rsid w:val="00086C88"/>
    <w:rsid w:val="000874A8"/>
    <w:rsid w:val="00093725"/>
    <w:rsid w:val="00094539"/>
    <w:rsid w:val="000A432A"/>
    <w:rsid w:val="000A5CCA"/>
    <w:rsid w:val="000B0617"/>
    <w:rsid w:val="000B077A"/>
    <w:rsid w:val="000B1253"/>
    <w:rsid w:val="000B5DC8"/>
    <w:rsid w:val="000D7304"/>
    <w:rsid w:val="000F0504"/>
    <w:rsid w:val="001026BC"/>
    <w:rsid w:val="0010671B"/>
    <w:rsid w:val="001070E7"/>
    <w:rsid w:val="00107435"/>
    <w:rsid w:val="001123C2"/>
    <w:rsid w:val="0011461C"/>
    <w:rsid w:val="00127114"/>
    <w:rsid w:val="00127CFD"/>
    <w:rsid w:val="001317E3"/>
    <w:rsid w:val="00134BBB"/>
    <w:rsid w:val="00136903"/>
    <w:rsid w:val="001453DA"/>
    <w:rsid w:val="001461DF"/>
    <w:rsid w:val="0015404D"/>
    <w:rsid w:val="00154A9F"/>
    <w:rsid w:val="0015522D"/>
    <w:rsid w:val="0015536E"/>
    <w:rsid w:val="00156376"/>
    <w:rsid w:val="00163149"/>
    <w:rsid w:val="00165D94"/>
    <w:rsid w:val="0017347B"/>
    <w:rsid w:val="00175457"/>
    <w:rsid w:val="00177564"/>
    <w:rsid w:val="001859F1"/>
    <w:rsid w:val="00185DF3"/>
    <w:rsid w:val="001864A0"/>
    <w:rsid w:val="00187721"/>
    <w:rsid w:val="00190585"/>
    <w:rsid w:val="0019074A"/>
    <w:rsid w:val="00192E17"/>
    <w:rsid w:val="00194B22"/>
    <w:rsid w:val="001A1630"/>
    <w:rsid w:val="001A3F15"/>
    <w:rsid w:val="001A3F50"/>
    <w:rsid w:val="001A3F92"/>
    <w:rsid w:val="001A467C"/>
    <w:rsid w:val="001A668D"/>
    <w:rsid w:val="001B055C"/>
    <w:rsid w:val="001B0885"/>
    <w:rsid w:val="001B0FE9"/>
    <w:rsid w:val="001B5FB3"/>
    <w:rsid w:val="001B7136"/>
    <w:rsid w:val="001C15FB"/>
    <w:rsid w:val="001C39C5"/>
    <w:rsid w:val="001C40B6"/>
    <w:rsid w:val="001D1CB1"/>
    <w:rsid w:val="001D2786"/>
    <w:rsid w:val="001D53FE"/>
    <w:rsid w:val="001D685C"/>
    <w:rsid w:val="001D6C6B"/>
    <w:rsid w:val="001E1369"/>
    <w:rsid w:val="001E4958"/>
    <w:rsid w:val="001F2004"/>
    <w:rsid w:val="002011C0"/>
    <w:rsid w:val="00205F4C"/>
    <w:rsid w:val="00206CDB"/>
    <w:rsid w:val="00220F43"/>
    <w:rsid w:val="002225E1"/>
    <w:rsid w:val="00224D2F"/>
    <w:rsid w:val="00226721"/>
    <w:rsid w:val="00226C54"/>
    <w:rsid w:val="00234750"/>
    <w:rsid w:val="00236270"/>
    <w:rsid w:val="002407CF"/>
    <w:rsid w:val="00243F8B"/>
    <w:rsid w:val="002455D2"/>
    <w:rsid w:val="00251FE7"/>
    <w:rsid w:val="00253E9C"/>
    <w:rsid w:val="002554D2"/>
    <w:rsid w:val="002603D8"/>
    <w:rsid w:val="002606BF"/>
    <w:rsid w:val="00274323"/>
    <w:rsid w:val="00276BA4"/>
    <w:rsid w:val="002830B4"/>
    <w:rsid w:val="002849F5"/>
    <w:rsid w:val="00294BC1"/>
    <w:rsid w:val="002973B0"/>
    <w:rsid w:val="002A633E"/>
    <w:rsid w:val="002B61F8"/>
    <w:rsid w:val="002B765E"/>
    <w:rsid w:val="002C71CB"/>
    <w:rsid w:val="002D0FB3"/>
    <w:rsid w:val="002D2570"/>
    <w:rsid w:val="002D2CA8"/>
    <w:rsid w:val="002D30B0"/>
    <w:rsid w:val="002E0DA6"/>
    <w:rsid w:val="002E4A1A"/>
    <w:rsid w:val="002E7928"/>
    <w:rsid w:val="002F043C"/>
    <w:rsid w:val="002F0B0C"/>
    <w:rsid w:val="002F1104"/>
    <w:rsid w:val="002F3F99"/>
    <w:rsid w:val="002F4FC9"/>
    <w:rsid w:val="002F5866"/>
    <w:rsid w:val="002F728A"/>
    <w:rsid w:val="002F77A1"/>
    <w:rsid w:val="002F7ADD"/>
    <w:rsid w:val="00301CB5"/>
    <w:rsid w:val="00302FC4"/>
    <w:rsid w:val="00303BF3"/>
    <w:rsid w:val="00307A31"/>
    <w:rsid w:val="00311B73"/>
    <w:rsid w:val="003178BC"/>
    <w:rsid w:val="0032148B"/>
    <w:rsid w:val="00321862"/>
    <w:rsid w:val="003224E4"/>
    <w:rsid w:val="00323F73"/>
    <w:rsid w:val="00327983"/>
    <w:rsid w:val="00330287"/>
    <w:rsid w:val="003317CE"/>
    <w:rsid w:val="00332910"/>
    <w:rsid w:val="00337FA4"/>
    <w:rsid w:val="003460BA"/>
    <w:rsid w:val="0034773A"/>
    <w:rsid w:val="00350531"/>
    <w:rsid w:val="003509D0"/>
    <w:rsid w:val="00351596"/>
    <w:rsid w:val="00353FDD"/>
    <w:rsid w:val="003550E8"/>
    <w:rsid w:val="003574A9"/>
    <w:rsid w:val="00357E09"/>
    <w:rsid w:val="00365509"/>
    <w:rsid w:val="00371868"/>
    <w:rsid w:val="00380FC9"/>
    <w:rsid w:val="00383227"/>
    <w:rsid w:val="00383A1F"/>
    <w:rsid w:val="00387202"/>
    <w:rsid w:val="003927F5"/>
    <w:rsid w:val="003A021D"/>
    <w:rsid w:val="003A574C"/>
    <w:rsid w:val="003B2076"/>
    <w:rsid w:val="003B365D"/>
    <w:rsid w:val="003B6174"/>
    <w:rsid w:val="003B7575"/>
    <w:rsid w:val="003C156F"/>
    <w:rsid w:val="003C22B7"/>
    <w:rsid w:val="003C73E3"/>
    <w:rsid w:val="003D2CA3"/>
    <w:rsid w:val="003D48CE"/>
    <w:rsid w:val="003D576D"/>
    <w:rsid w:val="003D5A75"/>
    <w:rsid w:val="003D6263"/>
    <w:rsid w:val="003E110A"/>
    <w:rsid w:val="003E3696"/>
    <w:rsid w:val="003E439B"/>
    <w:rsid w:val="003E5459"/>
    <w:rsid w:val="003E5C34"/>
    <w:rsid w:val="003F07DF"/>
    <w:rsid w:val="00412D6A"/>
    <w:rsid w:val="00416798"/>
    <w:rsid w:val="00416DAE"/>
    <w:rsid w:val="00417392"/>
    <w:rsid w:val="00417803"/>
    <w:rsid w:val="004206BA"/>
    <w:rsid w:val="00421A6D"/>
    <w:rsid w:val="00422395"/>
    <w:rsid w:val="00424C26"/>
    <w:rsid w:val="004328A9"/>
    <w:rsid w:val="0043341F"/>
    <w:rsid w:val="0044192B"/>
    <w:rsid w:val="00441AB1"/>
    <w:rsid w:val="00443B57"/>
    <w:rsid w:val="00444327"/>
    <w:rsid w:val="00453F06"/>
    <w:rsid w:val="00454160"/>
    <w:rsid w:val="00454451"/>
    <w:rsid w:val="00455AA6"/>
    <w:rsid w:val="004739E1"/>
    <w:rsid w:val="0047748D"/>
    <w:rsid w:val="00481EAC"/>
    <w:rsid w:val="00482DF9"/>
    <w:rsid w:val="00484BE0"/>
    <w:rsid w:val="004868E4"/>
    <w:rsid w:val="00492867"/>
    <w:rsid w:val="00497F29"/>
    <w:rsid w:val="004A0582"/>
    <w:rsid w:val="004A14EE"/>
    <w:rsid w:val="004A3EC8"/>
    <w:rsid w:val="004B6945"/>
    <w:rsid w:val="004C1A07"/>
    <w:rsid w:val="004C35CB"/>
    <w:rsid w:val="004C4593"/>
    <w:rsid w:val="004C739D"/>
    <w:rsid w:val="004D6437"/>
    <w:rsid w:val="004E75A9"/>
    <w:rsid w:val="004F440F"/>
    <w:rsid w:val="004F640E"/>
    <w:rsid w:val="0050279B"/>
    <w:rsid w:val="00502F20"/>
    <w:rsid w:val="005069AD"/>
    <w:rsid w:val="00510010"/>
    <w:rsid w:val="005117D7"/>
    <w:rsid w:val="0051503F"/>
    <w:rsid w:val="00516F65"/>
    <w:rsid w:val="005173BE"/>
    <w:rsid w:val="00521CF6"/>
    <w:rsid w:val="00522103"/>
    <w:rsid w:val="00525732"/>
    <w:rsid w:val="00525A3C"/>
    <w:rsid w:val="00526ACD"/>
    <w:rsid w:val="00530DD8"/>
    <w:rsid w:val="0053389E"/>
    <w:rsid w:val="005344E9"/>
    <w:rsid w:val="00536223"/>
    <w:rsid w:val="00537BD7"/>
    <w:rsid w:val="0054036F"/>
    <w:rsid w:val="00541855"/>
    <w:rsid w:val="00542A29"/>
    <w:rsid w:val="00545650"/>
    <w:rsid w:val="00547414"/>
    <w:rsid w:val="00547822"/>
    <w:rsid w:val="00547A6B"/>
    <w:rsid w:val="00550861"/>
    <w:rsid w:val="005518DB"/>
    <w:rsid w:val="00554F3F"/>
    <w:rsid w:val="0055669C"/>
    <w:rsid w:val="00557FFB"/>
    <w:rsid w:val="00562E29"/>
    <w:rsid w:val="00565219"/>
    <w:rsid w:val="00566681"/>
    <w:rsid w:val="00567A79"/>
    <w:rsid w:val="00567AFD"/>
    <w:rsid w:val="00581AD3"/>
    <w:rsid w:val="00582DA5"/>
    <w:rsid w:val="0058757F"/>
    <w:rsid w:val="005963A8"/>
    <w:rsid w:val="005971B6"/>
    <w:rsid w:val="00597CF1"/>
    <w:rsid w:val="005A1DC7"/>
    <w:rsid w:val="005A3BB8"/>
    <w:rsid w:val="005A3F39"/>
    <w:rsid w:val="005A5DD5"/>
    <w:rsid w:val="005B0013"/>
    <w:rsid w:val="005B2ACF"/>
    <w:rsid w:val="005B5D0A"/>
    <w:rsid w:val="005C4AA6"/>
    <w:rsid w:val="005C75EB"/>
    <w:rsid w:val="005D0618"/>
    <w:rsid w:val="005D2776"/>
    <w:rsid w:val="005D28AD"/>
    <w:rsid w:val="005D3545"/>
    <w:rsid w:val="005D4D2E"/>
    <w:rsid w:val="005D5CFF"/>
    <w:rsid w:val="005E4345"/>
    <w:rsid w:val="005E5A9D"/>
    <w:rsid w:val="005E6027"/>
    <w:rsid w:val="005F4078"/>
    <w:rsid w:val="005F4A33"/>
    <w:rsid w:val="005F4A6D"/>
    <w:rsid w:val="005F6CAE"/>
    <w:rsid w:val="00601B60"/>
    <w:rsid w:val="006028BB"/>
    <w:rsid w:val="00602A9E"/>
    <w:rsid w:val="006035DB"/>
    <w:rsid w:val="00610DE0"/>
    <w:rsid w:val="00611FB0"/>
    <w:rsid w:val="00616064"/>
    <w:rsid w:val="0062171E"/>
    <w:rsid w:val="00622A78"/>
    <w:rsid w:val="00637F38"/>
    <w:rsid w:val="00641C8D"/>
    <w:rsid w:val="0064283A"/>
    <w:rsid w:val="006432CB"/>
    <w:rsid w:val="00652551"/>
    <w:rsid w:val="00653484"/>
    <w:rsid w:val="00653B2E"/>
    <w:rsid w:val="00656E7F"/>
    <w:rsid w:val="006646BF"/>
    <w:rsid w:val="00665F28"/>
    <w:rsid w:val="00671899"/>
    <w:rsid w:val="00672A71"/>
    <w:rsid w:val="00675958"/>
    <w:rsid w:val="006771FC"/>
    <w:rsid w:val="006776D4"/>
    <w:rsid w:val="00681338"/>
    <w:rsid w:val="00690D6E"/>
    <w:rsid w:val="0069212D"/>
    <w:rsid w:val="0069642A"/>
    <w:rsid w:val="006968E9"/>
    <w:rsid w:val="00697976"/>
    <w:rsid w:val="006A1D81"/>
    <w:rsid w:val="006A2EA3"/>
    <w:rsid w:val="006A6B1A"/>
    <w:rsid w:val="006B60A6"/>
    <w:rsid w:val="006B660F"/>
    <w:rsid w:val="006C58FA"/>
    <w:rsid w:val="006C625C"/>
    <w:rsid w:val="006D2688"/>
    <w:rsid w:val="006D47D5"/>
    <w:rsid w:val="006E2AEA"/>
    <w:rsid w:val="006E3159"/>
    <w:rsid w:val="006E393E"/>
    <w:rsid w:val="006E49C6"/>
    <w:rsid w:val="006E4A46"/>
    <w:rsid w:val="006F03FC"/>
    <w:rsid w:val="006F07E4"/>
    <w:rsid w:val="006F1C53"/>
    <w:rsid w:val="006F3D92"/>
    <w:rsid w:val="006F3DA8"/>
    <w:rsid w:val="006F56E4"/>
    <w:rsid w:val="006F5D83"/>
    <w:rsid w:val="006F7DAE"/>
    <w:rsid w:val="00705243"/>
    <w:rsid w:val="0071081D"/>
    <w:rsid w:val="00712E74"/>
    <w:rsid w:val="00717E13"/>
    <w:rsid w:val="007204FD"/>
    <w:rsid w:val="00722063"/>
    <w:rsid w:val="00723CB7"/>
    <w:rsid w:val="007240DA"/>
    <w:rsid w:val="00724A3E"/>
    <w:rsid w:val="0072635B"/>
    <w:rsid w:val="00730A79"/>
    <w:rsid w:val="00730C63"/>
    <w:rsid w:val="00740014"/>
    <w:rsid w:val="0075492C"/>
    <w:rsid w:val="007566F2"/>
    <w:rsid w:val="00760779"/>
    <w:rsid w:val="00760955"/>
    <w:rsid w:val="007615D1"/>
    <w:rsid w:val="007625E8"/>
    <w:rsid w:val="0076418F"/>
    <w:rsid w:val="00766EEA"/>
    <w:rsid w:val="00773A32"/>
    <w:rsid w:val="007755FF"/>
    <w:rsid w:val="007846EB"/>
    <w:rsid w:val="00784C99"/>
    <w:rsid w:val="00786907"/>
    <w:rsid w:val="00786DC3"/>
    <w:rsid w:val="00794559"/>
    <w:rsid w:val="007A00D9"/>
    <w:rsid w:val="007A059B"/>
    <w:rsid w:val="007A3BBE"/>
    <w:rsid w:val="007A4E3B"/>
    <w:rsid w:val="007A67EA"/>
    <w:rsid w:val="007A7C0A"/>
    <w:rsid w:val="007A7DBC"/>
    <w:rsid w:val="007B0745"/>
    <w:rsid w:val="007C3EA8"/>
    <w:rsid w:val="007C51A4"/>
    <w:rsid w:val="007C7715"/>
    <w:rsid w:val="007D0BEA"/>
    <w:rsid w:val="007D0E50"/>
    <w:rsid w:val="007D748C"/>
    <w:rsid w:val="007F24A3"/>
    <w:rsid w:val="00802415"/>
    <w:rsid w:val="00803CCA"/>
    <w:rsid w:val="008128B4"/>
    <w:rsid w:val="00813DA6"/>
    <w:rsid w:val="008211D0"/>
    <w:rsid w:val="00827E00"/>
    <w:rsid w:val="008322BA"/>
    <w:rsid w:val="00833D04"/>
    <w:rsid w:val="00834D1A"/>
    <w:rsid w:val="00834E25"/>
    <w:rsid w:val="0083675C"/>
    <w:rsid w:val="0084033E"/>
    <w:rsid w:val="008418B3"/>
    <w:rsid w:val="00842187"/>
    <w:rsid w:val="00843B43"/>
    <w:rsid w:val="008457F0"/>
    <w:rsid w:val="0085718D"/>
    <w:rsid w:val="0085751D"/>
    <w:rsid w:val="00860EB5"/>
    <w:rsid w:val="0086396B"/>
    <w:rsid w:val="00865C14"/>
    <w:rsid w:val="00866AFB"/>
    <w:rsid w:val="00866DF5"/>
    <w:rsid w:val="00870C2A"/>
    <w:rsid w:val="00872858"/>
    <w:rsid w:val="00874286"/>
    <w:rsid w:val="008749E0"/>
    <w:rsid w:val="00877832"/>
    <w:rsid w:val="008814DF"/>
    <w:rsid w:val="00890A70"/>
    <w:rsid w:val="008978E5"/>
    <w:rsid w:val="008A0269"/>
    <w:rsid w:val="008B0654"/>
    <w:rsid w:val="008B1365"/>
    <w:rsid w:val="008B7EEF"/>
    <w:rsid w:val="008C298C"/>
    <w:rsid w:val="008C3AE6"/>
    <w:rsid w:val="008C5A13"/>
    <w:rsid w:val="008D2FC2"/>
    <w:rsid w:val="008D3209"/>
    <w:rsid w:val="008D7454"/>
    <w:rsid w:val="008F2770"/>
    <w:rsid w:val="008F30F3"/>
    <w:rsid w:val="008F4F0D"/>
    <w:rsid w:val="00901A42"/>
    <w:rsid w:val="00914523"/>
    <w:rsid w:val="00915FD6"/>
    <w:rsid w:val="00916198"/>
    <w:rsid w:val="00926B35"/>
    <w:rsid w:val="00926CDF"/>
    <w:rsid w:val="0093123F"/>
    <w:rsid w:val="009321BF"/>
    <w:rsid w:val="009332C1"/>
    <w:rsid w:val="0093503F"/>
    <w:rsid w:val="00940BDC"/>
    <w:rsid w:val="00941097"/>
    <w:rsid w:val="009417AF"/>
    <w:rsid w:val="0094194A"/>
    <w:rsid w:val="00941EE0"/>
    <w:rsid w:val="00942C8D"/>
    <w:rsid w:val="009438CE"/>
    <w:rsid w:val="009534B1"/>
    <w:rsid w:val="0095604D"/>
    <w:rsid w:val="00956EBA"/>
    <w:rsid w:val="00960345"/>
    <w:rsid w:val="0096067E"/>
    <w:rsid w:val="0096332C"/>
    <w:rsid w:val="009720CB"/>
    <w:rsid w:val="00980974"/>
    <w:rsid w:val="00980FC3"/>
    <w:rsid w:val="009838DA"/>
    <w:rsid w:val="009844CF"/>
    <w:rsid w:val="00990DF3"/>
    <w:rsid w:val="00991599"/>
    <w:rsid w:val="00992D76"/>
    <w:rsid w:val="009938DB"/>
    <w:rsid w:val="00994BFB"/>
    <w:rsid w:val="00996521"/>
    <w:rsid w:val="00997E3E"/>
    <w:rsid w:val="009A07E4"/>
    <w:rsid w:val="009A4CAB"/>
    <w:rsid w:val="009B4F8E"/>
    <w:rsid w:val="009B5758"/>
    <w:rsid w:val="009B58BD"/>
    <w:rsid w:val="009B744C"/>
    <w:rsid w:val="009C1D6D"/>
    <w:rsid w:val="009C1F7B"/>
    <w:rsid w:val="009C5B5D"/>
    <w:rsid w:val="009C6808"/>
    <w:rsid w:val="009C7E88"/>
    <w:rsid w:val="009D256E"/>
    <w:rsid w:val="009D417A"/>
    <w:rsid w:val="009D45AC"/>
    <w:rsid w:val="009D5269"/>
    <w:rsid w:val="009D6C62"/>
    <w:rsid w:val="009D72A5"/>
    <w:rsid w:val="009E198B"/>
    <w:rsid w:val="009E2E23"/>
    <w:rsid w:val="009E4DAD"/>
    <w:rsid w:val="009E64C7"/>
    <w:rsid w:val="009F1E35"/>
    <w:rsid w:val="009F2B29"/>
    <w:rsid w:val="009F30E3"/>
    <w:rsid w:val="009F35C6"/>
    <w:rsid w:val="009F4CBF"/>
    <w:rsid w:val="009F7D56"/>
    <w:rsid w:val="00A02303"/>
    <w:rsid w:val="00A0237A"/>
    <w:rsid w:val="00A027AF"/>
    <w:rsid w:val="00A0392B"/>
    <w:rsid w:val="00A14DA9"/>
    <w:rsid w:val="00A171A3"/>
    <w:rsid w:val="00A20ECF"/>
    <w:rsid w:val="00A2151A"/>
    <w:rsid w:val="00A21B0E"/>
    <w:rsid w:val="00A224A9"/>
    <w:rsid w:val="00A35341"/>
    <w:rsid w:val="00A4084A"/>
    <w:rsid w:val="00A5580A"/>
    <w:rsid w:val="00A55DCE"/>
    <w:rsid w:val="00A57B8D"/>
    <w:rsid w:val="00A63057"/>
    <w:rsid w:val="00A67619"/>
    <w:rsid w:val="00A85AF0"/>
    <w:rsid w:val="00A8714A"/>
    <w:rsid w:val="00A903A1"/>
    <w:rsid w:val="00AA3A61"/>
    <w:rsid w:val="00AA6CFD"/>
    <w:rsid w:val="00AB379A"/>
    <w:rsid w:val="00AB60F9"/>
    <w:rsid w:val="00AB7843"/>
    <w:rsid w:val="00AC05BC"/>
    <w:rsid w:val="00AC0B40"/>
    <w:rsid w:val="00AC328C"/>
    <w:rsid w:val="00AC355A"/>
    <w:rsid w:val="00AC5D6E"/>
    <w:rsid w:val="00AC7727"/>
    <w:rsid w:val="00AD1E84"/>
    <w:rsid w:val="00AD4560"/>
    <w:rsid w:val="00AD5878"/>
    <w:rsid w:val="00AD6058"/>
    <w:rsid w:val="00AD663B"/>
    <w:rsid w:val="00AD6B50"/>
    <w:rsid w:val="00AE0E30"/>
    <w:rsid w:val="00AE2199"/>
    <w:rsid w:val="00AE4924"/>
    <w:rsid w:val="00AF7024"/>
    <w:rsid w:val="00B015F4"/>
    <w:rsid w:val="00B03277"/>
    <w:rsid w:val="00B06A22"/>
    <w:rsid w:val="00B07E36"/>
    <w:rsid w:val="00B10299"/>
    <w:rsid w:val="00B23033"/>
    <w:rsid w:val="00B252E1"/>
    <w:rsid w:val="00B35B52"/>
    <w:rsid w:val="00B35B54"/>
    <w:rsid w:val="00B4144E"/>
    <w:rsid w:val="00B4455A"/>
    <w:rsid w:val="00B45AF9"/>
    <w:rsid w:val="00B463F2"/>
    <w:rsid w:val="00B46D62"/>
    <w:rsid w:val="00B568B3"/>
    <w:rsid w:val="00B57FD8"/>
    <w:rsid w:val="00B62ED3"/>
    <w:rsid w:val="00B664BD"/>
    <w:rsid w:val="00B73283"/>
    <w:rsid w:val="00B73B34"/>
    <w:rsid w:val="00B73C45"/>
    <w:rsid w:val="00B76FD0"/>
    <w:rsid w:val="00B83DA0"/>
    <w:rsid w:val="00B84AEF"/>
    <w:rsid w:val="00B87466"/>
    <w:rsid w:val="00B87A85"/>
    <w:rsid w:val="00B87B8E"/>
    <w:rsid w:val="00B9158B"/>
    <w:rsid w:val="00B97557"/>
    <w:rsid w:val="00B97B20"/>
    <w:rsid w:val="00BA226E"/>
    <w:rsid w:val="00BB09A3"/>
    <w:rsid w:val="00BB4CBB"/>
    <w:rsid w:val="00BB677A"/>
    <w:rsid w:val="00BC3361"/>
    <w:rsid w:val="00BC3D00"/>
    <w:rsid w:val="00BC3EF3"/>
    <w:rsid w:val="00BD5125"/>
    <w:rsid w:val="00BD537D"/>
    <w:rsid w:val="00BD5F10"/>
    <w:rsid w:val="00BD6B9F"/>
    <w:rsid w:val="00BD6E07"/>
    <w:rsid w:val="00BE1B4B"/>
    <w:rsid w:val="00BE1EB5"/>
    <w:rsid w:val="00BE25BD"/>
    <w:rsid w:val="00BE7874"/>
    <w:rsid w:val="00BF17D1"/>
    <w:rsid w:val="00C03F21"/>
    <w:rsid w:val="00C04918"/>
    <w:rsid w:val="00C06F07"/>
    <w:rsid w:val="00C11E04"/>
    <w:rsid w:val="00C1577F"/>
    <w:rsid w:val="00C215B8"/>
    <w:rsid w:val="00C27570"/>
    <w:rsid w:val="00C30274"/>
    <w:rsid w:val="00C3131F"/>
    <w:rsid w:val="00C414F2"/>
    <w:rsid w:val="00C46939"/>
    <w:rsid w:val="00C50961"/>
    <w:rsid w:val="00C518F5"/>
    <w:rsid w:val="00C54589"/>
    <w:rsid w:val="00C61809"/>
    <w:rsid w:val="00C65DE3"/>
    <w:rsid w:val="00C8089E"/>
    <w:rsid w:val="00CB34A3"/>
    <w:rsid w:val="00CC61CA"/>
    <w:rsid w:val="00CD2B0F"/>
    <w:rsid w:val="00CD6E30"/>
    <w:rsid w:val="00CE1CAF"/>
    <w:rsid w:val="00CE3BE7"/>
    <w:rsid w:val="00CE6976"/>
    <w:rsid w:val="00CE753F"/>
    <w:rsid w:val="00CF327B"/>
    <w:rsid w:val="00CF497B"/>
    <w:rsid w:val="00CF5146"/>
    <w:rsid w:val="00CF5F0E"/>
    <w:rsid w:val="00D02B3A"/>
    <w:rsid w:val="00D04EBD"/>
    <w:rsid w:val="00D04F8B"/>
    <w:rsid w:val="00D053F3"/>
    <w:rsid w:val="00D06DAC"/>
    <w:rsid w:val="00D079ED"/>
    <w:rsid w:val="00D07D7E"/>
    <w:rsid w:val="00D10D7E"/>
    <w:rsid w:val="00D13218"/>
    <w:rsid w:val="00D14BA4"/>
    <w:rsid w:val="00D15F35"/>
    <w:rsid w:val="00D16151"/>
    <w:rsid w:val="00D17E30"/>
    <w:rsid w:val="00D26041"/>
    <w:rsid w:val="00D306EA"/>
    <w:rsid w:val="00D30C19"/>
    <w:rsid w:val="00D40675"/>
    <w:rsid w:val="00D4199D"/>
    <w:rsid w:val="00D45308"/>
    <w:rsid w:val="00D572E6"/>
    <w:rsid w:val="00D639BD"/>
    <w:rsid w:val="00D64D78"/>
    <w:rsid w:val="00D72E8E"/>
    <w:rsid w:val="00D75BC3"/>
    <w:rsid w:val="00D917AA"/>
    <w:rsid w:val="00D91F23"/>
    <w:rsid w:val="00D9227D"/>
    <w:rsid w:val="00D923DC"/>
    <w:rsid w:val="00DA186C"/>
    <w:rsid w:val="00DA6502"/>
    <w:rsid w:val="00DB3892"/>
    <w:rsid w:val="00DC0166"/>
    <w:rsid w:val="00DC1511"/>
    <w:rsid w:val="00DC7CCD"/>
    <w:rsid w:val="00DE00E9"/>
    <w:rsid w:val="00DE08BD"/>
    <w:rsid w:val="00DE19A0"/>
    <w:rsid w:val="00DE5E8A"/>
    <w:rsid w:val="00DF5ABF"/>
    <w:rsid w:val="00E063D6"/>
    <w:rsid w:val="00E1021E"/>
    <w:rsid w:val="00E106ED"/>
    <w:rsid w:val="00E11FB1"/>
    <w:rsid w:val="00E157B2"/>
    <w:rsid w:val="00E22F45"/>
    <w:rsid w:val="00E23421"/>
    <w:rsid w:val="00E27B7C"/>
    <w:rsid w:val="00E314F4"/>
    <w:rsid w:val="00E31A9D"/>
    <w:rsid w:val="00E33084"/>
    <w:rsid w:val="00E33FDC"/>
    <w:rsid w:val="00E372A0"/>
    <w:rsid w:val="00E37595"/>
    <w:rsid w:val="00E40792"/>
    <w:rsid w:val="00E4285E"/>
    <w:rsid w:val="00E4533B"/>
    <w:rsid w:val="00E505B0"/>
    <w:rsid w:val="00E51D80"/>
    <w:rsid w:val="00E523CE"/>
    <w:rsid w:val="00E53846"/>
    <w:rsid w:val="00E54EF0"/>
    <w:rsid w:val="00E56F49"/>
    <w:rsid w:val="00E6769B"/>
    <w:rsid w:val="00E72AF1"/>
    <w:rsid w:val="00E74F24"/>
    <w:rsid w:val="00E832C3"/>
    <w:rsid w:val="00E85579"/>
    <w:rsid w:val="00E90878"/>
    <w:rsid w:val="00E93B15"/>
    <w:rsid w:val="00E9555E"/>
    <w:rsid w:val="00E96BF4"/>
    <w:rsid w:val="00EA2D5F"/>
    <w:rsid w:val="00EB024B"/>
    <w:rsid w:val="00EB0A88"/>
    <w:rsid w:val="00EB0C02"/>
    <w:rsid w:val="00EB13B5"/>
    <w:rsid w:val="00EB5871"/>
    <w:rsid w:val="00EC51A1"/>
    <w:rsid w:val="00EC772F"/>
    <w:rsid w:val="00ED1C1D"/>
    <w:rsid w:val="00ED4859"/>
    <w:rsid w:val="00ED5592"/>
    <w:rsid w:val="00ED5AF5"/>
    <w:rsid w:val="00EE2FE9"/>
    <w:rsid w:val="00EE751C"/>
    <w:rsid w:val="00EF00C4"/>
    <w:rsid w:val="00EF02D8"/>
    <w:rsid w:val="00EF289A"/>
    <w:rsid w:val="00EF6473"/>
    <w:rsid w:val="00EF657C"/>
    <w:rsid w:val="00F0388F"/>
    <w:rsid w:val="00F04404"/>
    <w:rsid w:val="00F07793"/>
    <w:rsid w:val="00F14A1C"/>
    <w:rsid w:val="00F15E66"/>
    <w:rsid w:val="00F175D6"/>
    <w:rsid w:val="00F20045"/>
    <w:rsid w:val="00F20DAE"/>
    <w:rsid w:val="00F24ACA"/>
    <w:rsid w:val="00F25353"/>
    <w:rsid w:val="00F26A5E"/>
    <w:rsid w:val="00F30265"/>
    <w:rsid w:val="00F32058"/>
    <w:rsid w:val="00F34904"/>
    <w:rsid w:val="00F405E5"/>
    <w:rsid w:val="00F412BA"/>
    <w:rsid w:val="00F43060"/>
    <w:rsid w:val="00F43F8B"/>
    <w:rsid w:val="00F44F8C"/>
    <w:rsid w:val="00F478FB"/>
    <w:rsid w:val="00F5092D"/>
    <w:rsid w:val="00F51266"/>
    <w:rsid w:val="00F513CF"/>
    <w:rsid w:val="00F57567"/>
    <w:rsid w:val="00F63692"/>
    <w:rsid w:val="00F66F67"/>
    <w:rsid w:val="00F76B0D"/>
    <w:rsid w:val="00F76DBC"/>
    <w:rsid w:val="00F83E32"/>
    <w:rsid w:val="00F86843"/>
    <w:rsid w:val="00F904D2"/>
    <w:rsid w:val="00F9112D"/>
    <w:rsid w:val="00F96739"/>
    <w:rsid w:val="00F970AB"/>
    <w:rsid w:val="00F975B6"/>
    <w:rsid w:val="00FA3813"/>
    <w:rsid w:val="00FA78C4"/>
    <w:rsid w:val="00FB0E21"/>
    <w:rsid w:val="00FB522E"/>
    <w:rsid w:val="00FB575D"/>
    <w:rsid w:val="00FC3A00"/>
    <w:rsid w:val="00FC69BB"/>
    <w:rsid w:val="00FD2B66"/>
    <w:rsid w:val="00FD6EA4"/>
    <w:rsid w:val="00FE0552"/>
    <w:rsid w:val="00FE35FB"/>
    <w:rsid w:val="00FE5CF3"/>
    <w:rsid w:val="00FE682A"/>
    <w:rsid w:val="00FF02EC"/>
    <w:rsid w:val="00FF0A41"/>
    <w:rsid w:val="00FF21C2"/>
    <w:rsid w:val="00FF25B8"/>
    <w:rsid w:val="00FF36BD"/>
    <w:rsid w:val="00FF62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A2D375"/>
  <w15:chartTrackingRefBased/>
  <w15:docId w15:val="{65FA687E-1E31-428E-B238-D1DF7000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D5592"/>
    <w:rPr>
      <w:rFonts w:ascii="Verdana" w:eastAsia="Verdana" w:hAnsi="Verdana"/>
      <w:sz w:val="24"/>
      <w:lang w:val="fr-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85718D"/>
    <w:pPr>
      <w:shd w:val="clear" w:color="auto" w:fill="000080"/>
    </w:pPr>
    <w:rPr>
      <w:rFonts w:ascii="Tahoma" w:hAnsi="Tahoma" w:cs="Tahoma"/>
      <w:sz w:val="20"/>
    </w:rPr>
  </w:style>
  <w:style w:type="paragraph" w:styleId="Koptekst">
    <w:name w:val="header"/>
    <w:basedOn w:val="Standaard"/>
    <w:link w:val="KoptekstChar"/>
    <w:rsid w:val="00156376"/>
    <w:pPr>
      <w:tabs>
        <w:tab w:val="center" w:pos="4536"/>
        <w:tab w:val="right" w:pos="9072"/>
      </w:tabs>
    </w:pPr>
  </w:style>
  <w:style w:type="character" w:customStyle="1" w:styleId="KoptekstChar">
    <w:name w:val="Koptekst Char"/>
    <w:basedOn w:val="Standaardalinea-lettertype"/>
    <w:link w:val="Koptekst"/>
    <w:rsid w:val="00156376"/>
    <w:rPr>
      <w:rFonts w:ascii="Verdana" w:eastAsia="Verdana" w:hAnsi="Verdana"/>
      <w:sz w:val="24"/>
      <w:lang w:val="fr-FR" w:eastAsia="nl-NL"/>
    </w:rPr>
  </w:style>
  <w:style w:type="paragraph" w:styleId="Voettekst">
    <w:name w:val="footer"/>
    <w:basedOn w:val="Standaard"/>
    <w:link w:val="VoettekstChar"/>
    <w:rsid w:val="00156376"/>
    <w:pPr>
      <w:tabs>
        <w:tab w:val="center" w:pos="4536"/>
        <w:tab w:val="right" w:pos="9072"/>
      </w:tabs>
    </w:pPr>
  </w:style>
  <w:style w:type="character" w:customStyle="1" w:styleId="VoettekstChar">
    <w:name w:val="Voettekst Char"/>
    <w:basedOn w:val="Standaardalinea-lettertype"/>
    <w:link w:val="Voettekst"/>
    <w:rsid w:val="00156376"/>
    <w:rPr>
      <w:rFonts w:ascii="Verdana" w:eastAsia="Verdana" w:hAnsi="Verdana"/>
      <w:sz w:val="24"/>
      <w:lang w:val="fr-FR" w:eastAsia="nl-NL"/>
    </w:rPr>
  </w:style>
  <w:style w:type="paragraph" w:styleId="Ballontekst">
    <w:name w:val="Balloon Text"/>
    <w:basedOn w:val="Standaard"/>
    <w:link w:val="BallontekstChar"/>
    <w:rsid w:val="00675958"/>
    <w:rPr>
      <w:rFonts w:ascii="Segoe UI" w:hAnsi="Segoe UI" w:cs="Segoe UI"/>
      <w:sz w:val="18"/>
      <w:szCs w:val="18"/>
    </w:rPr>
  </w:style>
  <w:style w:type="character" w:customStyle="1" w:styleId="BallontekstChar">
    <w:name w:val="Ballontekst Char"/>
    <w:basedOn w:val="Standaardalinea-lettertype"/>
    <w:link w:val="Ballontekst"/>
    <w:rsid w:val="00675958"/>
    <w:rPr>
      <w:rFonts w:ascii="Segoe UI" w:eastAsia="Verdana" w:hAnsi="Segoe UI" w:cs="Segoe UI"/>
      <w:sz w:val="18"/>
      <w:szCs w:val="18"/>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9D4F5-1CE5-4685-82DF-01453B6BE84E}">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customXml/itemProps2.xml><?xml version="1.0" encoding="utf-8"?>
<ds:datastoreItem xmlns:ds="http://schemas.openxmlformats.org/officeDocument/2006/customXml" ds:itemID="{A628C1FB-C45F-41AA-9520-A5262F29E369}">
  <ds:schemaRefs>
    <ds:schemaRef ds:uri="http://schemas.microsoft.com/sharepoint/v3/contenttype/forms"/>
  </ds:schemaRefs>
</ds:datastoreItem>
</file>

<file path=customXml/itemProps3.xml><?xml version="1.0" encoding="utf-8"?>
<ds:datastoreItem xmlns:ds="http://schemas.openxmlformats.org/officeDocument/2006/customXml" ds:itemID="{5B6CE5DA-8C97-4543-9B87-7B2C60E64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1095</Words>
  <Characters>5520</Characters>
  <Application>Microsoft Office Word</Application>
  <DocSecurity>0</DocSecurity>
  <Lines>104</Lines>
  <Paragraphs>26</Paragraphs>
  <ScaleCrop>false</ScaleCrop>
  <HeadingPairs>
    <vt:vector size="2" baseType="variant">
      <vt:variant>
        <vt:lpstr>Titel</vt:lpstr>
      </vt:variant>
      <vt:variant>
        <vt:i4>1</vt:i4>
      </vt:variant>
    </vt:vector>
  </HeadingPairs>
  <TitlesOfParts>
    <vt:vector size="1" baseType="lpstr">
      <vt:lpstr>CAHIER DES CHARGES SYSTÈME COLORLINE</vt:lpstr>
    </vt:vector>
  </TitlesOfParts>
  <Company>CEILUX BVBA</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SYSTÈME COLORLINE</dc:title>
  <dc:subject/>
  <dc:creator>VEERLE</dc:creator>
  <cp:keywords/>
  <dc:description/>
  <cp:lastModifiedBy>Valerie Bekaert - Ceilux</cp:lastModifiedBy>
  <cp:revision>23</cp:revision>
  <dcterms:created xsi:type="dcterms:W3CDTF">2014-11-26T17:05:00Z</dcterms:created>
  <dcterms:modified xsi:type="dcterms:W3CDTF">2026-05-18T11:02:00Z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MediaServiceImageTags">
    <vt:lpwstr/>
  </property>
  <property fmtid="{D5CDD505-2E9C-101B-9397-08002B2CF9AE}" pid="5" name="docLang">
    <vt:lpwstr>fr</vt:lpwstr>
  </property>
</Properties>
</file>