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8999" w14:textId="77777777" w:rsidR="008C1083" w:rsidRPr="00336285" w:rsidRDefault="008C1083" w:rsidP="008C1083">
      <w:pPr>
        <w:autoSpaceDE w:val="0"/>
        <w:autoSpaceDN w:val="0"/>
        <w:adjustRightInd w:val="0"/>
        <w:rPr>
          <w:rFonts w:ascii="DINOT-Black" w:eastAsia="Times New Roman" w:hAnsi="DINOT-Black" w:cs="DINOT-Black"/>
          <w:b/>
          <w:bCs/>
          <w:color w:val="000000"/>
          <w:szCs w:val="24"/>
          <w:lang w:eastAsia="nl-BE"/>
        </w:rPr>
      </w:pPr>
      <w:r w:rsidRPr="00336285">
        <w:rPr>
          <w:rFonts w:ascii="DINOT-Black" w:eastAsia="Times New Roman" w:hAnsi="DINOT-Black" w:cs="DINOT-Black"/>
          <w:b/>
          <w:bCs/>
          <w:color w:val="000000"/>
          <w:szCs w:val="24"/>
          <w:lang w:eastAsia="nl-BE"/>
        </w:rPr>
        <w:t>I Système</w:t>
      </w:r>
    </w:p>
    <w:p w14:paraId="111E899A"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 système de plafond est composé de profilés encastrés visibles et de panneaux de plafond amovibles avec ou sans modules d’éclairage intégrés. Les panneaux DROP présentent des dimensions extérieures de 600x600mm. Leur surface visible au plafond est de 585x585 mm</w:t>
      </w:r>
      <w:r w:rsidR="00AF5AB2" w:rsidRPr="00AF5AB2">
        <w:rPr>
          <w:rFonts w:ascii="DINOT-Regular" w:eastAsia="Times New Roman" w:hAnsi="DINOT-Regular" w:cs="DINOT-Regular"/>
          <w:color w:val="000000"/>
          <w:sz w:val="20"/>
          <w:lang w:val="fr-BE" w:eastAsia="nl-BE"/>
        </w:rPr>
        <w:t xml:space="preserve"> en combinaison avec</w:t>
      </w:r>
      <w:r w:rsidR="00AF5AB2">
        <w:rPr>
          <w:rFonts w:ascii="DINOT-Regular" w:eastAsia="Times New Roman" w:hAnsi="DINOT-Regular" w:cs="DINOT-Regular"/>
          <w:color w:val="000000"/>
          <w:sz w:val="20"/>
          <w:lang w:val="fr-BE" w:eastAsia="nl-BE"/>
        </w:rPr>
        <w:t xml:space="preserve"> des profilés T15 et de 575x575</w:t>
      </w:r>
      <w:r w:rsidR="00AF5AB2" w:rsidRPr="00AF5AB2">
        <w:rPr>
          <w:rFonts w:ascii="DINOT-Regular" w:eastAsia="Times New Roman" w:hAnsi="DINOT-Regular" w:cs="DINOT-Regular"/>
          <w:color w:val="000000"/>
          <w:sz w:val="20"/>
          <w:lang w:val="fr-BE" w:eastAsia="nl-BE"/>
        </w:rPr>
        <w:t xml:space="preserve">mm </w:t>
      </w:r>
      <w:r w:rsidR="00AF5AB2">
        <w:rPr>
          <w:rFonts w:ascii="DINOT-Regular" w:eastAsia="Times New Roman" w:hAnsi="DINOT-Regular" w:cs="DINOT-Regular"/>
          <w:color w:val="000000"/>
          <w:sz w:val="20"/>
          <w:lang w:val="fr-BE" w:eastAsia="nl-BE"/>
        </w:rPr>
        <w:t>si les profilés T24 ont été choisi</w:t>
      </w:r>
      <w:r w:rsidRPr="00AF5AB2">
        <w:rPr>
          <w:rFonts w:ascii="DINOT-Regular" w:eastAsia="Times New Roman" w:hAnsi="DINOT-Regular" w:cs="DINOT-Regular"/>
          <w:color w:val="000000"/>
          <w:sz w:val="20"/>
          <w:lang w:val="fr-BE" w:eastAsia="nl-BE"/>
        </w:rPr>
        <w:t>.</w:t>
      </w:r>
    </w:p>
    <w:p w14:paraId="111E899B" w14:textId="77777777" w:rsidR="008C1083"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FLAT présentent également des dimensions extérieures de 600x600 mm. Leur surface visible au plafond est de 575x575 mm.</w:t>
      </w:r>
    </w:p>
    <w:p w14:paraId="61961C8B" w14:textId="77777777" w:rsidR="006A2A1C" w:rsidRPr="00CF408A" w:rsidRDefault="006A2A1C" w:rsidP="006A2A1C">
      <w:pPr>
        <w:autoSpaceDE w:val="0"/>
        <w:autoSpaceDN w:val="0"/>
        <w:adjustRightInd w:val="0"/>
        <w:textAlignment w:val="center"/>
        <w:rPr>
          <w:rFonts w:ascii="DINOT-Regular" w:hAnsi="DINOT-Regular" w:cs="DINOT-Regular"/>
          <w:color w:val="000000"/>
          <w:sz w:val="20"/>
          <w:lang w:eastAsia="nl-BE"/>
        </w:rPr>
      </w:pPr>
      <w:r w:rsidRPr="00981A97">
        <w:rPr>
          <w:rFonts w:ascii="DINOT-Regular" w:hAnsi="DINOT-Regular" w:cs="DINOT-Regular"/>
          <w:color w:val="000000"/>
          <w:sz w:val="20"/>
          <w:lang w:eastAsia="nl-BE"/>
        </w:rPr>
        <w:t>Le système présente une stabilité au feu de ½ h selon la norme NBN 713.020.</w:t>
      </w:r>
    </w:p>
    <w:p w14:paraId="111E899C"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p>
    <w:p w14:paraId="111E899D" w14:textId="77777777" w:rsidR="008C1083" w:rsidRPr="00336285"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336285">
        <w:rPr>
          <w:rFonts w:ascii="DINOT-Black" w:eastAsia="Times New Roman" w:hAnsi="DINOT-Black" w:cs="DINOT-Black"/>
          <w:b/>
          <w:bCs/>
          <w:color w:val="000000"/>
          <w:szCs w:val="24"/>
          <w:lang w:val="fr-BE" w:eastAsia="nl-BE"/>
        </w:rPr>
        <w:t>II Matériaux</w:t>
      </w:r>
    </w:p>
    <w:p w14:paraId="111E899E"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de plafond sont fabriqués en acier 0,52mm galvanisé à chaud avec une couche de zinc de minimum 100g/m² selon le procédé Sendzimir. Le plafond satisfait aux exigences en matière de sécurité contre l’incendie, c.-à-d. à la classe A1 selon NEN 6065 (comportement à la propagation du feu) et NEN 6066 (production de fumées en cas de feu et matériels de construction), conformément au British Standard BS 476 partie 7.</w:t>
      </w:r>
    </w:p>
    <w:p w14:paraId="111E899F"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en ‘stretch’ sont fabriqués en acier étiré, galvanisé à chaud, sous forme de bande de type Q10 ayant des ouvertures de 8x10 mm.</w:t>
      </w:r>
    </w:p>
    <w:p w14:paraId="111E89A0"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ALPHA sont fabriqués à partir de matière synthétique de 3mm mise en forme thermiquement.</w:t>
      </w:r>
    </w:p>
    <w:p w14:paraId="111E89A1"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ont la classe de résistance au feu M2.</w:t>
      </w:r>
    </w:p>
    <w:p w14:paraId="111E89A2"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p>
    <w:p w14:paraId="111E89A3" w14:textId="77777777" w:rsidR="008C1083" w:rsidRPr="00336285"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336285">
        <w:rPr>
          <w:rFonts w:ascii="DINOT-Black" w:eastAsia="Times New Roman" w:hAnsi="DINOT-Black" w:cs="DINOT-Black"/>
          <w:b/>
          <w:bCs/>
          <w:color w:val="000000"/>
          <w:szCs w:val="24"/>
          <w:lang w:val="fr-BE" w:eastAsia="nl-BE"/>
        </w:rPr>
        <w:t>III Fabrication</w:t>
      </w:r>
    </w:p>
    <w:p w14:paraId="111E89A4"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DROP (en retombée) ont un bossage de 8mm si bien qu’au montage apparaît un retrait d’une largeur de 8mm et d’une profondeur de 8mm.</w:t>
      </w:r>
    </w:p>
    <w:p w14:paraId="111E89A5"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FLAT (plats) ont un bossage de 2mm sur les bordures. Ce bossage assure un passage plat entre les dalles et le profilé en T. Résultat final: un plafond uniforme.</w:t>
      </w:r>
    </w:p>
    <w:p w14:paraId="111E89A6"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sont produits selon BS 8290 partie 2 : 1991, Guide n°2 publié par ‘Suspended Ceilings Association’, TAIM et AFNOR NFP 68-203-1.</w:t>
      </w:r>
    </w:p>
    <w:p w14:paraId="111E89A7"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p>
    <w:p w14:paraId="111E89A8" w14:textId="77777777" w:rsidR="008C1083" w:rsidRPr="00336285"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336285">
        <w:rPr>
          <w:rFonts w:ascii="DINOT-Black" w:eastAsia="Times New Roman" w:hAnsi="DINOT-Black" w:cs="DINOT-Black"/>
          <w:b/>
          <w:bCs/>
          <w:color w:val="000000"/>
          <w:szCs w:val="24"/>
          <w:lang w:val="fr-BE" w:eastAsia="nl-BE"/>
        </w:rPr>
        <w:t>IV Finition</w:t>
      </w:r>
    </w:p>
    <w:p w14:paraId="111E89A9"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sont finis de façon standard en couleur argent métallisé ou en blanc. Autres couleurs et gabarits de perforation disponibles sur demande.</w:t>
      </w:r>
    </w:p>
    <w:p w14:paraId="111E89AA"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et les profilés de finition sont prépeints. Résultat: une couche de laque plus fine et un meilleur degré de finition des perforations, ainsi que des matériels moins sensibles aux empreintes en tout genre. De plus, tant les dalles que les profilés de finition sont munis d’un film facile à enlever et ce afin d’éviter les endommagements et de garantir une finition parfaite lors de la pose.</w:t>
      </w:r>
    </w:p>
    <w:p w14:paraId="111E89AB"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Durant le processus de production, la valeur de la couleur est mesurée selon ISO 7724-2 et ISO 7224-3 avec une déviation chromatique maximale ne pouvant excéder </w:t>
      </w:r>
      <w:r w:rsidRPr="00AF5AB2">
        <w:rPr>
          <w:rFonts w:ascii="DINOT-Regular" w:hAnsi="DINOT-Regular"/>
          <w:sz w:val="20"/>
          <w:lang w:val="fr-BE"/>
        </w:rPr>
        <w:t>∆E</w:t>
      </w:r>
      <w:r w:rsidRPr="00AF5AB2">
        <w:rPr>
          <w:rFonts w:ascii="DINOT-Regular" w:eastAsia="Times New Roman" w:hAnsi="DINOT-Regular" w:cs="DINOT-Regular"/>
          <w:color w:val="000000"/>
          <w:sz w:val="20"/>
          <w:lang w:val="fr-BE" w:eastAsia="nl-BE"/>
        </w:rPr>
        <w:t xml:space="preserve"> =1.</w:t>
      </w:r>
    </w:p>
    <w:p w14:paraId="111E89AC"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panneaux perforés sont munis de façon standard d’une membrane acoustique encollée.</w:t>
      </w:r>
    </w:p>
    <w:p w14:paraId="111E89AD"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p>
    <w:p w14:paraId="111E89AE" w14:textId="77777777" w:rsidR="008C1083" w:rsidRPr="00336285"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336285">
        <w:rPr>
          <w:rFonts w:ascii="DINOT-Black" w:eastAsia="Times New Roman" w:hAnsi="DINOT-Black" w:cs="DINOT-Black"/>
          <w:b/>
          <w:bCs/>
          <w:color w:val="000000"/>
          <w:szCs w:val="24"/>
          <w:lang w:val="fr-BE" w:eastAsia="nl-BE"/>
        </w:rPr>
        <w:t>V Gabarits de perforation</w:t>
      </w:r>
    </w:p>
    <w:p w14:paraId="111E89AF"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6C1802">
        <w:rPr>
          <w:rFonts w:ascii="DINOT-Regular" w:eastAsia="Times New Roman" w:hAnsi="DINOT-Regular" w:cs="DINOT-Bold"/>
          <w:b/>
          <w:bCs/>
          <w:color w:val="000000"/>
          <w:sz w:val="20"/>
          <w:lang w:val="fr-BE" w:eastAsia="nl-BE"/>
        </w:rPr>
        <w:t xml:space="preserve">Gabarit de perforation R10: </w:t>
      </w:r>
      <w:r w:rsidRPr="00AF5AB2">
        <w:rPr>
          <w:rFonts w:ascii="DINOT-Bold" w:eastAsia="Times New Roman" w:hAnsi="DINOT-Bold" w:cs="DINOT-Bold"/>
          <w:b/>
          <w:bCs/>
          <w:color w:val="000000"/>
          <w:sz w:val="20"/>
          <w:lang w:val="fr-BE" w:eastAsia="nl-BE"/>
        </w:rPr>
        <w:tab/>
      </w:r>
      <w:r w:rsidRPr="00AF5AB2">
        <w:rPr>
          <w:rFonts w:ascii="DINOT-Bold" w:eastAsia="Times New Roman" w:hAnsi="DINOT-Bold" w:cs="DINOT-Bold"/>
          <w:b/>
          <w:bCs/>
          <w:color w:val="000000"/>
          <w:sz w:val="20"/>
          <w:lang w:val="fr-BE" w:eastAsia="nl-BE"/>
        </w:rPr>
        <w:tab/>
      </w:r>
      <w:r w:rsidRPr="00AF5AB2">
        <w:rPr>
          <w:rFonts w:ascii="DINOT-Regular" w:eastAsia="Times New Roman" w:hAnsi="DINOT-Regular" w:cs="DINOT-Regular"/>
          <w:color w:val="000000"/>
          <w:sz w:val="20"/>
          <w:lang w:val="fr-BE" w:eastAsia="nl-BE"/>
        </w:rPr>
        <w:t>perforation ronde 1</w:t>
      </w:r>
      <w:r w:rsidR="005F08F6" w:rsidRPr="00AF5AB2">
        <w:rPr>
          <w:rFonts w:ascii="DINOT-Regular" w:eastAsia="Times New Roman" w:hAnsi="DINOT-Regular" w:cs="DINOT-Regular"/>
          <w:color w:val="000000"/>
          <w:sz w:val="20"/>
          <w:lang w:val="fr-BE" w:eastAsia="nl-BE"/>
        </w:rPr>
        <w:t>.</w:t>
      </w:r>
      <w:r w:rsidRPr="00AF5AB2">
        <w:rPr>
          <w:rFonts w:ascii="DINOT-Regular" w:eastAsia="Times New Roman" w:hAnsi="DINOT-Regular" w:cs="DINOT-Regular"/>
          <w:color w:val="000000"/>
          <w:sz w:val="20"/>
          <w:lang w:val="fr-BE" w:eastAsia="nl-BE"/>
        </w:rPr>
        <w:t>5mm</w:t>
      </w:r>
    </w:p>
    <w:p w14:paraId="111E89B0" w14:textId="77777777" w:rsidR="008C1083" w:rsidRPr="00AF5AB2" w:rsidRDefault="008C1083" w:rsidP="008C1083">
      <w:pPr>
        <w:autoSpaceDE w:val="0"/>
        <w:autoSpaceDN w:val="0"/>
        <w:adjustRightInd w:val="0"/>
        <w:ind w:left="2832"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distance intermédiaire de 2</w:t>
      </w:r>
      <w:r w:rsidR="005F08F6" w:rsidRPr="00AF5AB2">
        <w:rPr>
          <w:rFonts w:ascii="DINOT-Regular" w:eastAsia="Times New Roman" w:hAnsi="DINOT-Regular" w:cs="DINOT-Regular"/>
          <w:color w:val="000000"/>
          <w:sz w:val="20"/>
          <w:lang w:val="fr-BE" w:eastAsia="nl-BE"/>
        </w:rPr>
        <w:t>.</w:t>
      </w:r>
      <w:r w:rsidRPr="00AF5AB2">
        <w:rPr>
          <w:rFonts w:ascii="DINOT-Regular" w:eastAsia="Times New Roman" w:hAnsi="DINOT-Regular" w:cs="DINOT-Regular"/>
          <w:color w:val="000000"/>
          <w:sz w:val="20"/>
          <w:lang w:val="fr-BE" w:eastAsia="nl-BE"/>
        </w:rPr>
        <w:t>5 mm</w:t>
      </w:r>
    </w:p>
    <w:p w14:paraId="111E89B1" w14:textId="77777777" w:rsidR="008C1083" w:rsidRPr="00AF5AB2" w:rsidRDefault="008C1083" w:rsidP="008C1083">
      <w:pPr>
        <w:autoSpaceDE w:val="0"/>
        <w:autoSpaceDN w:val="0"/>
        <w:adjustRightInd w:val="0"/>
        <w:ind w:left="2832"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section de passage libre 6%</w:t>
      </w:r>
    </w:p>
    <w:p w14:paraId="111E89B3" w14:textId="2EF47905" w:rsidR="008C1083" w:rsidRPr="00AF5AB2" w:rsidRDefault="008C1083" w:rsidP="006A2A1C">
      <w:pPr>
        <w:autoSpaceDE w:val="0"/>
        <w:autoSpaceDN w:val="0"/>
        <w:adjustRightInd w:val="0"/>
        <w:ind w:left="2832"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bord non-perforé</w:t>
      </w:r>
      <w:r w:rsidR="005F08F6" w:rsidRPr="00AF5AB2">
        <w:rPr>
          <w:rFonts w:ascii="DINOT-Regular" w:eastAsia="Times New Roman" w:hAnsi="DINOT-Regular" w:cs="DINOT-Regular"/>
          <w:color w:val="000000"/>
          <w:sz w:val="20"/>
          <w:lang w:val="fr-BE" w:eastAsia="nl-BE"/>
        </w:rPr>
        <w:t xml:space="preserve"> de</w:t>
      </w:r>
      <w:r w:rsidRPr="00AF5AB2">
        <w:rPr>
          <w:rFonts w:ascii="DINOT-Regular" w:eastAsia="Times New Roman" w:hAnsi="DINOT-Regular" w:cs="DINOT-Regular"/>
          <w:color w:val="000000"/>
          <w:sz w:val="20"/>
          <w:lang w:val="fr-BE" w:eastAsia="nl-BE"/>
        </w:rPr>
        <w:t xml:space="preserve"> 100 mm</w:t>
      </w:r>
    </w:p>
    <w:p w14:paraId="111E89B4"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6C1802">
        <w:rPr>
          <w:rFonts w:ascii="DINOT-Regular" w:eastAsia="Times New Roman" w:hAnsi="DINOT-Regular" w:cs="DINOT-Bold"/>
          <w:b/>
          <w:bCs/>
          <w:color w:val="000000"/>
          <w:sz w:val="20"/>
          <w:lang w:val="fr-BE" w:eastAsia="nl-BE"/>
        </w:rPr>
        <w:t xml:space="preserve">Gabarit de perforation R: </w:t>
      </w:r>
      <w:r w:rsidRPr="00AF5AB2">
        <w:rPr>
          <w:rFonts w:ascii="DINOT-Bold" w:eastAsia="Times New Roman" w:hAnsi="DINOT-Bold" w:cs="DINOT-Bold"/>
          <w:b/>
          <w:bCs/>
          <w:color w:val="000000"/>
          <w:sz w:val="20"/>
          <w:lang w:val="fr-BE" w:eastAsia="nl-BE"/>
        </w:rPr>
        <w:tab/>
      </w:r>
      <w:r w:rsidRPr="00AF5AB2">
        <w:rPr>
          <w:rFonts w:ascii="DINOT-Bold" w:eastAsia="Times New Roman" w:hAnsi="DINOT-Bold" w:cs="DINOT-Bold"/>
          <w:b/>
          <w:bCs/>
          <w:color w:val="000000"/>
          <w:sz w:val="20"/>
          <w:lang w:val="fr-BE" w:eastAsia="nl-BE"/>
        </w:rPr>
        <w:tab/>
      </w:r>
      <w:r w:rsidRPr="00AF5AB2">
        <w:rPr>
          <w:rFonts w:ascii="DINOT-Regular" w:eastAsia="Times New Roman" w:hAnsi="DINOT-Regular" w:cs="DINOT-Regular"/>
          <w:color w:val="000000"/>
          <w:sz w:val="20"/>
          <w:lang w:val="fr-BE" w:eastAsia="nl-BE"/>
        </w:rPr>
        <w:t>perforation ronde 1</w:t>
      </w:r>
      <w:r w:rsidR="005F08F6" w:rsidRPr="00AF5AB2">
        <w:rPr>
          <w:rFonts w:ascii="DINOT-Regular" w:eastAsia="Times New Roman" w:hAnsi="DINOT-Regular" w:cs="DINOT-Regular"/>
          <w:color w:val="000000"/>
          <w:sz w:val="20"/>
          <w:lang w:val="fr-BE" w:eastAsia="nl-BE"/>
        </w:rPr>
        <w:t>.</w:t>
      </w:r>
      <w:r w:rsidRPr="00AF5AB2">
        <w:rPr>
          <w:rFonts w:ascii="DINOT-Regular" w:eastAsia="Times New Roman" w:hAnsi="DINOT-Regular" w:cs="DINOT-Regular"/>
          <w:color w:val="000000"/>
          <w:sz w:val="20"/>
          <w:lang w:val="fr-BE" w:eastAsia="nl-BE"/>
        </w:rPr>
        <w:t>5 mm (un gabarit droit)</w:t>
      </w:r>
    </w:p>
    <w:p w14:paraId="111E89B5" w14:textId="77777777" w:rsidR="008C1083" w:rsidRPr="00AF5AB2" w:rsidRDefault="008C1083" w:rsidP="008C1083">
      <w:pPr>
        <w:autoSpaceDE w:val="0"/>
        <w:autoSpaceDN w:val="0"/>
        <w:adjustRightInd w:val="0"/>
        <w:ind w:left="2832"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distance intermédiaire de 2</w:t>
      </w:r>
      <w:r w:rsidR="005F08F6" w:rsidRPr="00AF5AB2">
        <w:rPr>
          <w:rFonts w:ascii="DINOT-Regular" w:eastAsia="Times New Roman" w:hAnsi="DINOT-Regular" w:cs="DINOT-Regular"/>
          <w:color w:val="000000"/>
          <w:sz w:val="20"/>
          <w:lang w:val="fr-BE" w:eastAsia="nl-BE"/>
        </w:rPr>
        <w:t>.</w:t>
      </w:r>
      <w:r w:rsidRPr="00AF5AB2">
        <w:rPr>
          <w:rFonts w:ascii="DINOT-Regular" w:eastAsia="Times New Roman" w:hAnsi="DINOT-Regular" w:cs="DINOT-Regular"/>
          <w:color w:val="000000"/>
          <w:sz w:val="20"/>
          <w:lang w:val="fr-BE" w:eastAsia="nl-BE"/>
        </w:rPr>
        <w:t>5 mm</w:t>
      </w:r>
    </w:p>
    <w:p w14:paraId="111E89B6" w14:textId="77777777" w:rsidR="008C1083" w:rsidRPr="00AF5AB2" w:rsidRDefault="008C1083" w:rsidP="008C1083">
      <w:pPr>
        <w:autoSpaceDE w:val="0"/>
        <w:autoSpaceDN w:val="0"/>
        <w:adjustRightInd w:val="0"/>
        <w:ind w:left="2832"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section de passage libre de 11%</w:t>
      </w:r>
    </w:p>
    <w:p w14:paraId="111E89B8"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6C1802">
        <w:rPr>
          <w:rFonts w:ascii="DINOT-Regular" w:eastAsia="Times New Roman" w:hAnsi="DINOT-Regular" w:cs="DINOT-Bold"/>
          <w:b/>
          <w:bCs/>
          <w:color w:val="000000"/>
          <w:sz w:val="20"/>
          <w:lang w:val="fr-BE" w:eastAsia="nl-BE"/>
        </w:rPr>
        <w:t xml:space="preserve">Gabarit de perforation Rd: </w:t>
      </w:r>
      <w:r w:rsidRPr="006C1802">
        <w:rPr>
          <w:rFonts w:ascii="DINOT-Regular" w:eastAsia="Times New Roman" w:hAnsi="DINOT-Regular" w:cs="DINOT-Bold"/>
          <w:b/>
          <w:bCs/>
          <w:color w:val="000000"/>
          <w:sz w:val="20"/>
          <w:lang w:val="fr-BE" w:eastAsia="nl-BE"/>
        </w:rPr>
        <w:tab/>
      </w:r>
      <w:r w:rsidRPr="00AF5AB2">
        <w:rPr>
          <w:rFonts w:ascii="DINOT-Bold" w:eastAsia="Times New Roman" w:hAnsi="DINOT-Bold" w:cs="DINOT-Bold"/>
          <w:b/>
          <w:bCs/>
          <w:color w:val="000000"/>
          <w:sz w:val="20"/>
          <w:lang w:val="fr-BE" w:eastAsia="nl-BE"/>
        </w:rPr>
        <w:tab/>
      </w:r>
      <w:r w:rsidRPr="00AF5AB2">
        <w:rPr>
          <w:rFonts w:ascii="DINOT-Regular" w:eastAsia="Times New Roman" w:hAnsi="DINOT-Regular" w:cs="DINOT-Regular"/>
          <w:color w:val="000000"/>
          <w:sz w:val="20"/>
          <w:lang w:val="fr-BE" w:eastAsia="nl-BE"/>
        </w:rPr>
        <w:t>perforation ronde diagonale de 1,5mm (un gabarit diagonal)</w:t>
      </w:r>
    </w:p>
    <w:p w14:paraId="111E89B9" w14:textId="77777777" w:rsidR="008C1083" w:rsidRPr="00AF5AB2" w:rsidRDefault="008C1083" w:rsidP="008C1083">
      <w:pPr>
        <w:autoSpaceDE w:val="0"/>
        <w:autoSpaceDN w:val="0"/>
        <w:adjustRightInd w:val="0"/>
        <w:ind w:left="2832"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distance intermédiaire 2</w:t>
      </w:r>
      <w:r w:rsidR="005F08F6" w:rsidRPr="00AF5AB2">
        <w:rPr>
          <w:rFonts w:ascii="DINOT-Regular" w:eastAsia="Times New Roman" w:hAnsi="DINOT-Regular" w:cs="DINOT-Regular"/>
          <w:color w:val="000000"/>
          <w:sz w:val="20"/>
          <w:lang w:val="fr-BE" w:eastAsia="nl-BE"/>
        </w:rPr>
        <w:t>.</w:t>
      </w:r>
      <w:r w:rsidRPr="00AF5AB2">
        <w:rPr>
          <w:rFonts w:ascii="DINOT-Regular" w:eastAsia="Times New Roman" w:hAnsi="DINOT-Regular" w:cs="DINOT-Regular"/>
          <w:color w:val="000000"/>
          <w:sz w:val="20"/>
          <w:lang w:val="fr-BE" w:eastAsia="nl-BE"/>
        </w:rPr>
        <w:t>5</w:t>
      </w:r>
      <w:r w:rsidR="005F08F6" w:rsidRPr="00AF5AB2">
        <w:rPr>
          <w:rFonts w:ascii="DINOT-Regular" w:eastAsia="Times New Roman" w:hAnsi="DINOT-Regular" w:cs="DINOT-Regular"/>
          <w:color w:val="000000"/>
          <w:sz w:val="20"/>
          <w:lang w:val="fr-BE" w:eastAsia="nl-BE"/>
        </w:rPr>
        <w:t xml:space="preserve"> </w:t>
      </w:r>
      <w:r w:rsidRPr="00AF5AB2">
        <w:rPr>
          <w:rFonts w:ascii="DINOT-Regular" w:eastAsia="Times New Roman" w:hAnsi="DINOT-Regular" w:cs="DINOT-Regular"/>
          <w:color w:val="000000"/>
          <w:sz w:val="20"/>
          <w:lang w:val="fr-BE" w:eastAsia="nl-BE"/>
        </w:rPr>
        <w:t>mm</w:t>
      </w:r>
    </w:p>
    <w:p w14:paraId="111E89BA" w14:textId="77777777" w:rsidR="00F07620" w:rsidRPr="00AF5AB2" w:rsidRDefault="008C1083" w:rsidP="00F07620">
      <w:pPr>
        <w:autoSpaceDE w:val="0"/>
        <w:autoSpaceDN w:val="0"/>
        <w:adjustRightInd w:val="0"/>
        <w:ind w:left="2832"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section de passage libre 22%</w:t>
      </w:r>
    </w:p>
    <w:p w14:paraId="111E89BB" w14:textId="77777777" w:rsidR="000C053D" w:rsidRPr="00FE0552" w:rsidRDefault="000C053D" w:rsidP="000C053D">
      <w:pPr>
        <w:tabs>
          <w:tab w:val="left" w:pos="2835"/>
        </w:tabs>
        <w:rPr>
          <w:rFonts w:ascii="DINOT-Regular" w:hAnsi="DINOT-Regular"/>
          <w:sz w:val="20"/>
        </w:rPr>
      </w:pPr>
      <w:r w:rsidRPr="006C1802">
        <w:rPr>
          <w:rFonts w:ascii="DINOT-Regular" w:hAnsi="DINOT-Regular"/>
          <w:b/>
          <w:sz w:val="20"/>
        </w:rPr>
        <w:t>Gabarit de perforation Q:</w:t>
      </w:r>
      <w:r w:rsidRPr="00FE0552">
        <w:rPr>
          <w:rFonts w:ascii="DINOT-Regular" w:hAnsi="DINOT-Regular"/>
          <w:b/>
          <w:sz w:val="20"/>
        </w:rPr>
        <w:tab/>
      </w:r>
      <w:r>
        <w:rPr>
          <w:rFonts w:ascii="DINOT-Regular" w:hAnsi="DINOT-Regular"/>
          <w:b/>
          <w:sz w:val="20"/>
        </w:rPr>
        <w:tab/>
      </w:r>
      <w:r w:rsidRPr="00FE0552">
        <w:rPr>
          <w:rFonts w:ascii="DINOT-Regular" w:hAnsi="DINOT-Regular"/>
          <w:sz w:val="20"/>
        </w:rPr>
        <w:t>perforation carrée 5</w:t>
      </w:r>
      <w:r>
        <w:rPr>
          <w:rFonts w:ascii="DINOT-Regular" w:hAnsi="DINOT-Regular"/>
          <w:sz w:val="20"/>
        </w:rPr>
        <w:t xml:space="preserve"> </w:t>
      </w:r>
      <w:r w:rsidRPr="00FE0552">
        <w:rPr>
          <w:rFonts w:ascii="DINOT-Regular" w:hAnsi="DINOT-Regular"/>
          <w:sz w:val="20"/>
        </w:rPr>
        <w:t>mm</w:t>
      </w:r>
    </w:p>
    <w:p w14:paraId="111E89BC" w14:textId="77777777" w:rsidR="000C053D" w:rsidRPr="00FE0552" w:rsidRDefault="000C053D" w:rsidP="000C053D">
      <w:pPr>
        <w:tabs>
          <w:tab w:val="left" w:pos="2835"/>
        </w:tabs>
        <w:rPr>
          <w:rFonts w:ascii="DINOT-Regular" w:hAnsi="DINOT-Regular"/>
          <w:sz w:val="20"/>
        </w:rPr>
      </w:pPr>
      <w:r w:rsidRPr="00FE0552">
        <w:rPr>
          <w:rFonts w:ascii="DINOT-Regular" w:hAnsi="DINOT-Regular"/>
          <w:sz w:val="20"/>
        </w:rPr>
        <w:tab/>
      </w:r>
      <w:r>
        <w:rPr>
          <w:rFonts w:ascii="DINOT-Regular" w:hAnsi="DINOT-Regular"/>
          <w:sz w:val="20"/>
        </w:rPr>
        <w:tab/>
      </w:r>
      <w:r w:rsidRPr="00FE0552">
        <w:rPr>
          <w:rFonts w:ascii="DINOT-Regular" w:hAnsi="DINOT-Regular"/>
          <w:sz w:val="20"/>
        </w:rPr>
        <w:t>distance intermédiaire 3</w:t>
      </w:r>
      <w:r>
        <w:rPr>
          <w:rFonts w:ascii="DINOT-Regular" w:hAnsi="DINOT-Regular"/>
          <w:sz w:val="20"/>
        </w:rPr>
        <w:t xml:space="preserve"> </w:t>
      </w:r>
      <w:r w:rsidRPr="00FE0552">
        <w:rPr>
          <w:rFonts w:ascii="DINOT-Regular" w:hAnsi="DINOT-Regular"/>
          <w:sz w:val="20"/>
        </w:rPr>
        <w:t>mm</w:t>
      </w:r>
    </w:p>
    <w:p w14:paraId="111E89BD" w14:textId="77777777" w:rsidR="000C053D" w:rsidRPr="00FE0552" w:rsidRDefault="000C053D" w:rsidP="000C053D">
      <w:pPr>
        <w:tabs>
          <w:tab w:val="left" w:pos="2835"/>
        </w:tabs>
        <w:rPr>
          <w:rFonts w:ascii="DINOT-Regular" w:hAnsi="DINOT-Regular"/>
          <w:sz w:val="20"/>
        </w:rPr>
      </w:pPr>
      <w:r w:rsidRPr="00FE0552">
        <w:rPr>
          <w:rFonts w:ascii="DINOT-Regular" w:hAnsi="DINOT-Regular"/>
          <w:sz w:val="20"/>
        </w:rPr>
        <w:tab/>
      </w:r>
      <w:r>
        <w:rPr>
          <w:rFonts w:ascii="DINOT-Regular" w:hAnsi="DINOT-Regular"/>
          <w:sz w:val="20"/>
        </w:rPr>
        <w:tab/>
      </w:r>
      <w:r w:rsidRPr="00FE0552">
        <w:rPr>
          <w:rFonts w:ascii="DINOT-Regular" w:hAnsi="DINOT-Regular"/>
          <w:sz w:val="20"/>
        </w:rPr>
        <w:t>section de passage libre 30%</w:t>
      </w:r>
    </w:p>
    <w:p w14:paraId="111E89BE" w14:textId="77777777" w:rsidR="000C053D" w:rsidRPr="00FE0552" w:rsidRDefault="000C053D" w:rsidP="000C053D">
      <w:pPr>
        <w:tabs>
          <w:tab w:val="left" w:pos="2835"/>
        </w:tabs>
        <w:rPr>
          <w:rFonts w:ascii="DINOT-Regular" w:hAnsi="DINOT-Regular"/>
          <w:sz w:val="20"/>
        </w:rPr>
      </w:pPr>
      <w:r w:rsidRPr="00FE0552">
        <w:rPr>
          <w:rFonts w:ascii="DINOT-Regular" w:hAnsi="DINOT-Regular"/>
          <w:sz w:val="20"/>
        </w:rPr>
        <w:tab/>
      </w:r>
      <w:r>
        <w:rPr>
          <w:rFonts w:ascii="DINOT-Regular" w:hAnsi="DINOT-Regular"/>
          <w:sz w:val="20"/>
        </w:rPr>
        <w:tab/>
        <w:t>bord non-perforé de 2.5</w:t>
      </w:r>
      <w:r w:rsidRPr="00675958">
        <w:rPr>
          <w:rFonts w:ascii="DINOT-Regular" w:hAnsi="DINOT-Regular"/>
          <w:sz w:val="20"/>
        </w:rPr>
        <w:t xml:space="preserve"> mm</w:t>
      </w:r>
      <w:r>
        <w:rPr>
          <w:rFonts w:ascii="DINOT-Regular" w:hAnsi="DINOT-Regular"/>
          <w:sz w:val="20"/>
        </w:rPr>
        <w:t xml:space="preserve"> </w:t>
      </w:r>
    </w:p>
    <w:p w14:paraId="111E89BF" w14:textId="77777777" w:rsidR="000C053D" w:rsidRPr="00AF5AB2" w:rsidRDefault="000C053D" w:rsidP="000C053D">
      <w:pPr>
        <w:autoSpaceDE w:val="0"/>
        <w:autoSpaceDN w:val="0"/>
        <w:adjustRightInd w:val="0"/>
        <w:rPr>
          <w:rFonts w:ascii="DINOT-Regular" w:eastAsia="Times New Roman" w:hAnsi="DINOT-Regular" w:cs="DINOT-Regular"/>
          <w:color w:val="000000"/>
          <w:sz w:val="20"/>
          <w:lang w:val="fr-BE" w:eastAsia="nl-BE"/>
        </w:rPr>
      </w:pPr>
    </w:p>
    <w:p w14:paraId="111E89C0" w14:textId="77777777" w:rsidR="008C1083" w:rsidRPr="00AF5AB2" w:rsidRDefault="008C1083" w:rsidP="00F07620">
      <w:pPr>
        <w:autoSpaceDE w:val="0"/>
        <w:autoSpaceDN w:val="0"/>
        <w:adjustRightInd w:val="0"/>
        <w:rPr>
          <w:rFonts w:ascii="DINOT-Regular" w:eastAsia="Times New Roman" w:hAnsi="DINOT-Regular" w:cs="DINOT-Regular"/>
          <w:color w:val="000000"/>
          <w:sz w:val="20"/>
          <w:lang w:val="fr-BE" w:eastAsia="nl-BE"/>
        </w:rPr>
      </w:pPr>
      <w:r w:rsidRPr="006C1802">
        <w:rPr>
          <w:rFonts w:ascii="DINOT-Regular" w:eastAsia="Times New Roman" w:hAnsi="DINOT-Regular" w:cs="DINOT-Bold"/>
          <w:b/>
          <w:bCs/>
          <w:color w:val="000000"/>
          <w:sz w:val="20"/>
          <w:lang w:val="fr-BE" w:eastAsia="nl-BE"/>
        </w:rPr>
        <w:t>Panneau ‘stretch’ Q10 :</w:t>
      </w:r>
      <w:r w:rsidRPr="00AF5AB2">
        <w:rPr>
          <w:rFonts w:ascii="DINOT-Bold" w:eastAsia="Times New Roman" w:hAnsi="DINOT-Bold" w:cs="DINOT-Bold"/>
          <w:b/>
          <w:bCs/>
          <w:color w:val="000000"/>
          <w:sz w:val="20"/>
          <w:lang w:val="fr-BE" w:eastAsia="nl-BE"/>
        </w:rPr>
        <w:t xml:space="preserve"> </w:t>
      </w:r>
      <w:r w:rsidRPr="00AF5AB2">
        <w:rPr>
          <w:rFonts w:ascii="DINOT-Bold" w:eastAsia="Times New Roman" w:hAnsi="DINOT-Bold" w:cs="DINOT-Bold"/>
          <w:b/>
          <w:bCs/>
          <w:color w:val="000000"/>
          <w:sz w:val="20"/>
          <w:lang w:val="fr-BE" w:eastAsia="nl-BE"/>
        </w:rPr>
        <w:tab/>
      </w:r>
      <w:r w:rsidRPr="00AF5AB2">
        <w:rPr>
          <w:rFonts w:ascii="DINOT-Bold" w:eastAsia="Times New Roman" w:hAnsi="DINOT-Bold" w:cs="DINOT-Bold"/>
          <w:b/>
          <w:bCs/>
          <w:color w:val="000000"/>
          <w:sz w:val="20"/>
          <w:lang w:val="fr-BE" w:eastAsia="nl-BE"/>
        </w:rPr>
        <w:tab/>
      </w:r>
      <w:r w:rsidRPr="00AF5AB2">
        <w:rPr>
          <w:rFonts w:ascii="DINOT-Regular" w:eastAsia="Times New Roman" w:hAnsi="DINOT-Regular" w:cs="DINOT-Regular"/>
          <w:color w:val="000000"/>
          <w:sz w:val="20"/>
          <w:lang w:val="fr-BE" w:eastAsia="nl-BE"/>
        </w:rPr>
        <w:t>ouvertures de 8x10mm</w:t>
      </w:r>
    </w:p>
    <w:p w14:paraId="111E89C2"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En option, ces dalles peuvent être recouvertes d’un tapis d’isolation qui peut être posé tant côté noir que côté blanc dirigé vers le panneau.</w:t>
      </w:r>
    </w:p>
    <w:p w14:paraId="111E89C3"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Autres ouvertures sur demande.</w:t>
      </w:r>
    </w:p>
    <w:p w14:paraId="111E89C5"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6C1802">
        <w:rPr>
          <w:rFonts w:ascii="DINOT-Regular" w:eastAsia="Times New Roman" w:hAnsi="DINOT-Regular" w:cs="DINOT-Bold"/>
          <w:b/>
          <w:bCs/>
          <w:color w:val="000000"/>
          <w:sz w:val="20"/>
          <w:lang w:val="fr-BE" w:eastAsia="nl-BE"/>
        </w:rPr>
        <w:t xml:space="preserve">Panneau Alpha </w:t>
      </w:r>
      <w:r w:rsidRPr="00AF5AB2">
        <w:rPr>
          <w:rFonts w:ascii="TimesNewRomanPSMT" w:eastAsia="Times New Roman" w:hAnsi="TimesNewRomanPSMT" w:cs="TimesNewRomanPSMT"/>
          <w:color w:val="000000"/>
          <w:sz w:val="22"/>
          <w:szCs w:val="22"/>
          <w:lang w:val="fr-BE" w:eastAsia="nl-BE"/>
        </w:rPr>
        <w:t xml:space="preserve">: </w:t>
      </w:r>
      <w:r w:rsidRPr="00AF5AB2">
        <w:rPr>
          <w:rFonts w:ascii="DINOT-Regular" w:eastAsia="Times New Roman" w:hAnsi="DINOT-Regular" w:cs="DINOT-Regular"/>
          <w:color w:val="000000"/>
          <w:sz w:val="20"/>
          <w:lang w:val="fr-BE" w:eastAsia="nl-BE"/>
        </w:rPr>
        <w:t>Les panneaux ALPHA sont fabriqués à partir de matière synthétique de 3mm mise en</w:t>
      </w:r>
    </w:p>
    <w:p w14:paraId="111E89C6" w14:textId="77777777" w:rsidR="008C1083" w:rsidRPr="00AF5AB2" w:rsidRDefault="008C1083" w:rsidP="008C1083">
      <w:pPr>
        <w:autoSpaceDE w:val="0"/>
        <w:autoSpaceDN w:val="0"/>
        <w:adjustRightInd w:val="0"/>
        <w:ind w:left="1416"/>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  forme thermiquement.</w:t>
      </w:r>
    </w:p>
    <w:p w14:paraId="111E89C7" w14:textId="77777777" w:rsidR="008C1083" w:rsidRPr="00AF5AB2" w:rsidRDefault="008C1083" w:rsidP="008C1083">
      <w:pPr>
        <w:autoSpaceDE w:val="0"/>
        <w:autoSpaceDN w:val="0"/>
        <w:adjustRightInd w:val="0"/>
        <w:ind w:left="1416"/>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  Disponible en 3 versions différentes :</w:t>
      </w:r>
    </w:p>
    <w:p w14:paraId="111E89C8" w14:textId="77777777" w:rsidR="008C1083" w:rsidRPr="00AF5AB2" w:rsidRDefault="008C1083" w:rsidP="008C1083">
      <w:pPr>
        <w:autoSpaceDE w:val="0"/>
        <w:autoSpaceDN w:val="0"/>
        <w:adjustRightInd w:val="0"/>
        <w:ind w:left="1416"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-H (module de coin)</w:t>
      </w:r>
    </w:p>
    <w:p w14:paraId="111E89C9" w14:textId="77777777" w:rsidR="008C1083" w:rsidRPr="00AF5AB2" w:rsidRDefault="008C1083" w:rsidP="008C1083">
      <w:pPr>
        <w:autoSpaceDE w:val="0"/>
        <w:autoSpaceDN w:val="0"/>
        <w:adjustRightInd w:val="0"/>
        <w:ind w:left="1416"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-M (module de centre)</w:t>
      </w:r>
    </w:p>
    <w:p w14:paraId="111E89CA" w14:textId="77777777" w:rsidR="008C1083" w:rsidRPr="00AF5AB2" w:rsidRDefault="008C1083" w:rsidP="008C1083">
      <w:pPr>
        <w:autoSpaceDE w:val="0"/>
        <w:autoSpaceDN w:val="0"/>
        <w:adjustRightInd w:val="0"/>
        <w:ind w:left="1416" w:firstLine="708"/>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 (module de bord)</w:t>
      </w:r>
    </w:p>
    <w:p w14:paraId="111E89CB"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p>
    <w:p w14:paraId="111E89CC" w14:textId="77777777" w:rsidR="008C1083" w:rsidRPr="00EF3B81"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EF3B81">
        <w:rPr>
          <w:rFonts w:ascii="DINOT-Black" w:eastAsia="Times New Roman" w:hAnsi="DINOT-Black" w:cs="DINOT-Black"/>
          <w:b/>
          <w:bCs/>
          <w:color w:val="000000"/>
          <w:szCs w:val="24"/>
          <w:lang w:val="fr-BE" w:eastAsia="nl-BE"/>
        </w:rPr>
        <w:t>VI Suspension et structure porteuse</w:t>
      </w:r>
    </w:p>
    <w:p w14:paraId="111E89CD"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La structure encastrée avec une largeur de nervure de 15mm</w:t>
      </w:r>
      <w:r w:rsidR="00AF5AB2">
        <w:rPr>
          <w:rFonts w:ascii="DINOT-Regular" w:eastAsia="Times New Roman" w:hAnsi="DINOT-Regular" w:cs="DINOT-Regular"/>
          <w:color w:val="000000"/>
          <w:sz w:val="20"/>
          <w:lang w:val="fr-BE" w:eastAsia="nl-BE"/>
        </w:rPr>
        <w:t xml:space="preserve"> ou de 24mm</w:t>
      </w:r>
      <w:r w:rsidRPr="00AF5AB2">
        <w:rPr>
          <w:rFonts w:ascii="DINOT-Regular" w:eastAsia="Times New Roman" w:hAnsi="DINOT-Regular" w:cs="DINOT-Regular"/>
          <w:color w:val="000000"/>
          <w:sz w:val="20"/>
          <w:lang w:val="fr-BE" w:eastAsia="nl-BE"/>
        </w:rPr>
        <w:t xml:space="preserve"> se compose d’un profilé principal de 3600mm sur lequel des profilés transversaux de 600mm et de 1200mm sont reliés les uns aux autres via système “click-in”. Les étriers doivent être appliqués à une interdistance maximale de 1200mm.</w:t>
      </w:r>
    </w:p>
    <w:p w14:paraId="111E89CE"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Les profilés encastrés sont suspendus au moyen de barres de suspension. Barre de suspension de 3m (Ø 4mm) à couper et à plier à la longueur souhaitée. </w:t>
      </w:r>
    </w:p>
    <w:p w14:paraId="111E89CF" w14:textId="77777777" w:rsidR="008C1083" w:rsidRPr="00AF5AB2" w:rsidRDefault="00640BB0" w:rsidP="008C1083">
      <w:pPr>
        <w:autoSpaceDE w:val="0"/>
        <w:autoSpaceDN w:val="0"/>
        <w:adjustRightInd w:val="0"/>
        <w:rPr>
          <w:rFonts w:ascii="DINOT-Regular" w:eastAsia="Times New Roman" w:hAnsi="DINOT-Regular" w:cs="DINOT-Regular"/>
          <w:color w:val="000000"/>
          <w:sz w:val="20"/>
          <w:lang w:val="fr-BE" w:eastAsia="nl-BE"/>
        </w:rPr>
      </w:pPr>
      <w:r>
        <w:rPr>
          <w:rFonts w:ascii="DINOT-Regular" w:eastAsia="Times New Roman" w:hAnsi="DINOT-Regular" w:cs="DINOT-Regular"/>
          <w:color w:val="000000"/>
          <w:sz w:val="20"/>
          <w:lang w:val="fr-BE" w:eastAsia="nl-BE"/>
        </w:rPr>
        <w:t>L</w:t>
      </w:r>
      <w:r w:rsidR="008C1083" w:rsidRPr="00AF5AB2">
        <w:rPr>
          <w:rFonts w:ascii="DINOT-Regular" w:eastAsia="Times New Roman" w:hAnsi="DINOT-Regular" w:cs="DINOT-Regular"/>
          <w:color w:val="000000"/>
          <w:sz w:val="20"/>
          <w:lang w:val="fr-BE" w:eastAsia="nl-BE"/>
        </w:rPr>
        <w:t xml:space="preserve">es dalles DROP </w:t>
      </w:r>
      <w:r>
        <w:rPr>
          <w:rFonts w:ascii="DINOT-Regular" w:eastAsia="Times New Roman" w:hAnsi="DINOT-Regular" w:cs="DINOT-Regular"/>
          <w:color w:val="000000"/>
          <w:sz w:val="20"/>
          <w:lang w:val="fr-BE" w:eastAsia="nl-BE"/>
        </w:rPr>
        <w:t xml:space="preserve">peuvent être combiné avec </w:t>
      </w:r>
      <w:r w:rsidR="008C1083" w:rsidRPr="00AF5AB2">
        <w:rPr>
          <w:rFonts w:ascii="DINOT-Regular" w:eastAsia="Times New Roman" w:hAnsi="DINOT-Regular" w:cs="DINOT-Regular"/>
          <w:color w:val="000000"/>
          <w:sz w:val="20"/>
          <w:lang w:val="fr-BE" w:eastAsia="nl-BE"/>
        </w:rPr>
        <w:t>des profilés en T-15 ou T24</w:t>
      </w:r>
      <w:r w:rsidR="00D93F17">
        <w:rPr>
          <w:rFonts w:ascii="DINOT-Regular" w:eastAsia="Times New Roman" w:hAnsi="DINOT-Regular" w:cs="DINOT-Regular"/>
          <w:color w:val="000000"/>
          <w:sz w:val="20"/>
          <w:lang w:val="fr-BE" w:eastAsia="nl-BE"/>
        </w:rPr>
        <w:t>,</w:t>
      </w:r>
      <w:r w:rsidR="008C1083" w:rsidRPr="00AF5AB2">
        <w:rPr>
          <w:rFonts w:ascii="DINOT-Regular" w:eastAsia="Times New Roman" w:hAnsi="DINOT-Regular" w:cs="DINOT-Regular"/>
          <w:color w:val="000000"/>
          <w:sz w:val="20"/>
          <w:lang w:val="fr-BE" w:eastAsia="nl-BE"/>
        </w:rPr>
        <w:t xml:space="preserve"> pour les dalles FLAT des profilés en T-24</w:t>
      </w:r>
      <w:r>
        <w:rPr>
          <w:rFonts w:ascii="DINOT-Regular" w:eastAsia="Times New Roman" w:hAnsi="DINOT-Regular" w:cs="DINOT-Regular"/>
          <w:color w:val="000000"/>
          <w:sz w:val="20"/>
          <w:lang w:val="fr-BE" w:eastAsia="nl-BE"/>
        </w:rPr>
        <w:t xml:space="preserve"> sont utilisés</w:t>
      </w:r>
      <w:r w:rsidR="008C1083" w:rsidRPr="00AF5AB2">
        <w:rPr>
          <w:rFonts w:ascii="DINOT-Regular" w:eastAsia="Times New Roman" w:hAnsi="DINOT-Regular" w:cs="DINOT-Regular"/>
          <w:color w:val="000000"/>
          <w:sz w:val="20"/>
          <w:lang w:val="fr-BE" w:eastAsia="nl-BE"/>
        </w:rPr>
        <w:t>.</w:t>
      </w:r>
    </w:p>
    <w:p w14:paraId="111E89D0"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 plafond est nivelé au moyen de ressorts de réglage</w:t>
      </w:r>
      <w:r w:rsidR="00F07620" w:rsidRPr="00AF5AB2">
        <w:rPr>
          <w:rFonts w:ascii="DINOT-Regular" w:eastAsia="Times New Roman" w:hAnsi="DINOT-Regular" w:cs="DINOT-Regular"/>
          <w:color w:val="000000"/>
          <w:sz w:val="20"/>
          <w:lang w:val="fr-BE" w:eastAsia="nl-BE"/>
        </w:rPr>
        <w:t>.</w:t>
      </w:r>
    </w:p>
    <w:p w14:paraId="111E89D1"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p>
    <w:p w14:paraId="111E89D2" w14:textId="77777777" w:rsidR="008C1083" w:rsidRPr="00EF3B81"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EF3B81">
        <w:rPr>
          <w:rFonts w:ascii="DINOT-Black" w:eastAsia="Times New Roman" w:hAnsi="DINOT-Black" w:cs="DINOT-Black"/>
          <w:b/>
          <w:bCs/>
          <w:color w:val="000000"/>
          <w:szCs w:val="24"/>
          <w:lang w:val="fr-BE" w:eastAsia="nl-BE"/>
        </w:rPr>
        <w:t>VII Finition périphérique</w:t>
      </w:r>
    </w:p>
    <w:p w14:paraId="111E89D3"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Les raccords muraux peuvent être finis au moyen de :</w:t>
      </w:r>
    </w:p>
    <w:p w14:paraId="111E89D4"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Profilés C en acier 0,8mm à bords droits. La livraison du profilé C s’accompagne en option de gâchettes qui veillent à ce que la dalle soit bien appliquée contre la finition périphérique.</w:t>
      </w:r>
    </w:p>
    <w:p w14:paraId="111E89D5"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Profilés L en acier 0,8mm avec rebords.</w:t>
      </w:r>
    </w:p>
    <w:p w14:paraId="111E89D6"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Tous les profilés de la finition périphérique sont toujours livrés par longueur de 3m.</w:t>
      </w:r>
    </w:p>
    <w:p w14:paraId="111E89D7"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Vu le bossage de 8mm des dalles DROP, on doit veiller à monter les profilés de finition, 8mm plus bas que la structure porteuse. </w:t>
      </w:r>
    </w:p>
    <w:p w14:paraId="111E89D8"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Pour compenser la différence de hauteur entre le profilé transversal et la finition périphérique, on applique en option un bloc de niveau.</w:t>
      </w:r>
    </w:p>
    <w:p w14:paraId="111E89D9"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p>
    <w:p w14:paraId="111E89DA" w14:textId="77777777" w:rsidR="008C1083" w:rsidRPr="00EF3B81"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EF3B81">
        <w:rPr>
          <w:rFonts w:ascii="DINOT-Black" w:eastAsia="Times New Roman" w:hAnsi="DINOT-Black" w:cs="DINOT-Black"/>
          <w:b/>
          <w:bCs/>
          <w:color w:val="000000"/>
          <w:szCs w:val="24"/>
          <w:lang w:val="fr-BE" w:eastAsia="nl-BE"/>
        </w:rPr>
        <w:t>VIII Modules d’éclairage</w:t>
      </w:r>
    </w:p>
    <w:p w14:paraId="111E89DB"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Tous les modules d’éclairage sont chaque fois munis d’une dalle à repères tracés au laser (teinte et fabrication similaires) de sorte que l’armature d’éclairage s’accorde parfaitement au plafond. De cette manière, l’éclairage est intégré au plafond et constitue un tout concordant.</w:t>
      </w:r>
    </w:p>
    <w:p w14:paraId="111E89DC"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Tous les modules d’éclairage sont conçus selon les normes européennes EN 60598. Les modules d’éclairage sont toujours pré câblés et munis d’une fiche GST-3 ou GST-5. Tous les modules d’éclairage pendent via un pontage réglable sur la structure porteuse. Ce afin d’éviter l’affaissement des dalles. Tous les modules d’éclairage sont montés « trimless » dans le plafond.</w:t>
      </w:r>
    </w:p>
    <w:p w14:paraId="111E89DE" w14:textId="77777777" w:rsidR="000C053D" w:rsidRPr="00AF5AB2" w:rsidRDefault="000C053D" w:rsidP="008C1083">
      <w:pPr>
        <w:autoSpaceDE w:val="0"/>
        <w:autoSpaceDN w:val="0"/>
        <w:adjustRightInd w:val="0"/>
        <w:rPr>
          <w:rFonts w:ascii="DINOT-Regular" w:eastAsia="Times New Roman" w:hAnsi="DINOT-Regular" w:cs="DINOT-Regular"/>
          <w:color w:val="000000"/>
          <w:sz w:val="20"/>
          <w:lang w:val="fr-BE" w:eastAsia="nl-BE"/>
        </w:rPr>
      </w:pPr>
    </w:p>
    <w:p w14:paraId="5B44D2A0" w14:textId="77777777" w:rsidR="00EF3B81" w:rsidRDefault="00EF3B81" w:rsidP="008C1083">
      <w:pPr>
        <w:autoSpaceDE w:val="0"/>
        <w:autoSpaceDN w:val="0"/>
        <w:adjustRightInd w:val="0"/>
        <w:rPr>
          <w:rFonts w:ascii="DINOT-Black" w:eastAsia="Times New Roman" w:hAnsi="DINOT-Black" w:cs="DINOT-Black"/>
          <w:b/>
          <w:bCs/>
          <w:color w:val="000000"/>
          <w:szCs w:val="24"/>
          <w:lang w:val="fr-BE" w:eastAsia="nl-BE"/>
        </w:rPr>
      </w:pPr>
      <w:r>
        <w:rPr>
          <w:rFonts w:ascii="DINOT-Black" w:eastAsia="Times New Roman" w:hAnsi="DINOT-Black" w:cs="DINOT-Black"/>
          <w:b/>
          <w:bCs/>
          <w:color w:val="000000"/>
          <w:szCs w:val="24"/>
          <w:lang w:val="fr-BE" w:eastAsia="nl-BE"/>
        </w:rPr>
        <w:br/>
      </w:r>
    </w:p>
    <w:p w14:paraId="1672CD56" w14:textId="77777777" w:rsidR="00EF3B81" w:rsidRDefault="00EF3B81">
      <w:pPr>
        <w:rPr>
          <w:rFonts w:ascii="DINOT-Black" w:eastAsia="Times New Roman" w:hAnsi="DINOT-Black" w:cs="DINOT-Black"/>
          <w:b/>
          <w:bCs/>
          <w:color w:val="000000"/>
          <w:szCs w:val="24"/>
          <w:lang w:val="fr-BE" w:eastAsia="nl-BE"/>
        </w:rPr>
      </w:pPr>
      <w:r>
        <w:rPr>
          <w:rFonts w:ascii="DINOT-Black" w:eastAsia="Times New Roman" w:hAnsi="DINOT-Black" w:cs="DINOT-Black"/>
          <w:b/>
          <w:bCs/>
          <w:color w:val="000000"/>
          <w:szCs w:val="24"/>
          <w:lang w:val="fr-BE" w:eastAsia="nl-BE"/>
        </w:rPr>
        <w:br w:type="page"/>
      </w:r>
    </w:p>
    <w:p w14:paraId="111E89DF" w14:textId="7A5127DA" w:rsidR="008C1083" w:rsidRPr="00EF3B81"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EF3B81">
        <w:rPr>
          <w:rFonts w:ascii="DINOT-Black" w:eastAsia="Times New Roman" w:hAnsi="DINOT-Black" w:cs="DINOT-Black"/>
          <w:b/>
          <w:bCs/>
          <w:color w:val="000000"/>
          <w:szCs w:val="24"/>
          <w:lang w:val="fr-BE" w:eastAsia="nl-BE"/>
        </w:rPr>
        <w:lastRenderedPageBreak/>
        <w:t>IX Dalle de ventilation</w:t>
      </w:r>
    </w:p>
    <w:p w14:paraId="111E89E0" w14:textId="58B39F4F"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Ceilux peut vous offrir </w:t>
      </w:r>
      <w:r w:rsidR="00011F38">
        <w:rPr>
          <w:rFonts w:ascii="DINOT-Regular" w:eastAsia="Times New Roman" w:hAnsi="DINOT-Regular" w:cs="DINOT-Regular"/>
          <w:color w:val="000000"/>
          <w:sz w:val="20"/>
          <w:lang w:val="fr-BE" w:eastAsia="nl-BE"/>
        </w:rPr>
        <w:t>3</w:t>
      </w:r>
      <w:r w:rsidRPr="00AF5AB2">
        <w:rPr>
          <w:rFonts w:ascii="DINOT-Regular" w:eastAsia="Times New Roman" w:hAnsi="DINOT-Regular" w:cs="DINOT-Regular"/>
          <w:color w:val="000000"/>
          <w:sz w:val="20"/>
          <w:lang w:val="fr-BE" w:eastAsia="nl-BE"/>
        </w:rPr>
        <w:t xml:space="preserve"> types differents de diffuseurs tourbillon</w:t>
      </w:r>
    </w:p>
    <w:p w14:paraId="111E89E1" w14:textId="77777777" w:rsidR="008C1083" w:rsidRPr="006C1802" w:rsidRDefault="008C1083" w:rsidP="008C1083">
      <w:pPr>
        <w:autoSpaceDE w:val="0"/>
        <w:autoSpaceDN w:val="0"/>
        <w:adjustRightInd w:val="0"/>
        <w:rPr>
          <w:rFonts w:ascii="DINOT-Regular" w:eastAsia="Times New Roman" w:hAnsi="DINOT-Regular" w:cs="DINOT-Bold"/>
          <w:b/>
          <w:bCs/>
          <w:color w:val="000000"/>
          <w:sz w:val="20"/>
          <w:lang w:val="fr-BE" w:eastAsia="nl-BE"/>
        </w:rPr>
      </w:pPr>
      <w:r w:rsidRPr="006C1802">
        <w:rPr>
          <w:rFonts w:ascii="DINOT-Regular" w:eastAsia="Times New Roman" w:hAnsi="DINOT-Regular" w:cs="DINOT-Bold"/>
          <w:b/>
          <w:bCs/>
          <w:color w:val="000000"/>
          <w:sz w:val="20"/>
          <w:lang w:val="fr-BE" w:eastAsia="nl-BE"/>
        </w:rPr>
        <w:t>Ventilo</w:t>
      </w:r>
    </w:p>
    <w:p w14:paraId="111E89E2"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 ventilo vous donne la possibilité de réglage par 12 ou 24 déflecteurs en forme de cercle.</w:t>
      </w:r>
    </w:p>
    <w:p w14:paraId="111E89E3"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En option nous pouvons vous fournir le plénum. Le plenum peut vous </w:t>
      </w:r>
      <w:r w:rsidRPr="00AF5AB2">
        <w:rPr>
          <w:rFonts w:ascii="DINOT-Regular" w:eastAsia="Times New Roman" w:hAnsi="DINOT-Regular" w:cs="TimesNewRomanPSMT"/>
          <w:color w:val="000000"/>
          <w:sz w:val="22"/>
          <w:szCs w:val="22"/>
          <w:lang w:val="fr-BE" w:eastAsia="nl-BE"/>
        </w:rPr>
        <w:t xml:space="preserve">être </w:t>
      </w:r>
      <w:r w:rsidRPr="00AF5AB2">
        <w:rPr>
          <w:rFonts w:ascii="DINOT-Regular" w:eastAsia="Times New Roman" w:hAnsi="DINOT-Regular" w:cs="DINOT-Regular"/>
          <w:color w:val="000000"/>
          <w:sz w:val="20"/>
          <w:lang w:val="fr-BE" w:eastAsia="nl-BE"/>
        </w:rPr>
        <w:t>fourni avec une connection latérale de 160 ou 200 mm.</w:t>
      </w:r>
    </w:p>
    <w:p w14:paraId="111E89E4" w14:textId="77777777" w:rsidR="008C1083" w:rsidRPr="006C1802" w:rsidRDefault="008C1083" w:rsidP="008C1083">
      <w:pPr>
        <w:autoSpaceDE w:val="0"/>
        <w:autoSpaceDN w:val="0"/>
        <w:adjustRightInd w:val="0"/>
        <w:rPr>
          <w:rFonts w:ascii="DINOT-Regular" w:eastAsia="Times New Roman" w:hAnsi="DINOT-Regular" w:cs="DINOT-Bold"/>
          <w:b/>
          <w:bCs/>
          <w:color w:val="000000"/>
          <w:sz w:val="20"/>
          <w:lang w:val="fr-BE" w:eastAsia="nl-BE"/>
        </w:rPr>
      </w:pPr>
      <w:r w:rsidRPr="006C1802">
        <w:rPr>
          <w:rFonts w:ascii="DINOT-Regular" w:eastAsia="Times New Roman" w:hAnsi="DINOT-Regular" w:cs="DINOT-Bold"/>
          <w:b/>
          <w:bCs/>
          <w:color w:val="000000"/>
          <w:sz w:val="20"/>
          <w:lang w:val="fr-BE" w:eastAsia="nl-BE"/>
        </w:rPr>
        <w:t>Nozzle</w:t>
      </w:r>
    </w:p>
    <w:p w14:paraId="111E89E5"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 xml:space="preserve">La grille Nozzle est disponible avec 36 ou 40 diffuseurs réglable et peut aussi </w:t>
      </w:r>
      <w:r w:rsidRPr="00AF5AB2">
        <w:rPr>
          <w:rFonts w:ascii="DINOT-Regular" w:eastAsia="Times New Roman" w:hAnsi="DINOT-Regular" w:cs="TimesNewRomanPSMT"/>
          <w:color w:val="000000"/>
          <w:sz w:val="22"/>
          <w:szCs w:val="22"/>
          <w:lang w:val="fr-BE" w:eastAsia="nl-BE"/>
        </w:rPr>
        <w:t xml:space="preserve">être </w:t>
      </w:r>
      <w:r w:rsidRPr="00AF5AB2">
        <w:rPr>
          <w:rFonts w:ascii="DINOT-Regular" w:eastAsia="Times New Roman" w:hAnsi="DINOT-Regular" w:cs="DINOT-Regular"/>
          <w:color w:val="000000"/>
          <w:sz w:val="20"/>
          <w:lang w:val="fr-BE" w:eastAsia="nl-BE"/>
        </w:rPr>
        <w:t>livrée avec le plenum pour vu d’une connection latérale de 160 ou 200 mm.</w:t>
      </w:r>
    </w:p>
    <w:p w14:paraId="318D4A6A" w14:textId="77777777" w:rsidR="005770E2" w:rsidRPr="00653335" w:rsidRDefault="005770E2" w:rsidP="005770E2">
      <w:pPr>
        <w:autoSpaceDE w:val="0"/>
        <w:autoSpaceDN w:val="0"/>
        <w:adjustRightInd w:val="0"/>
        <w:textAlignment w:val="center"/>
        <w:rPr>
          <w:rFonts w:ascii="DINOT-Regular" w:hAnsi="DINOT-Regular" w:cs="DINOT-Bold"/>
          <w:color w:val="000000"/>
          <w:sz w:val="20"/>
          <w:lang w:eastAsia="nl-BE"/>
        </w:rPr>
      </w:pPr>
      <w:r w:rsidRPr="00653335">
        <w:rPr>
          <w:rFonts w:ascii="DINOT-Regular" w:hAnsi="DINOT-Regular" w:cs="DINOT-Bold"/>
          <w:b/>
          <w:bCs/>
          <w:color w:val="000000"/>
          <w:sz w:val="20"/>
          <w:lang w:eastAsia="nl-BE"/>
        </w:rPr>
        <w:t>Halo</w:t>
      </w:r>
      <w:r w:rsidRPr="00653335">
        <w:rPr>
          <w:rFonts w:ascii="DINOT-Regular" w:hAnsi="DINOT-Regular" w:cs="DINOT-Bold"/>
          <w:color w:val="000000"/>
          <w:sz w:val="20"/>
          <w:lang w:eastAsia="nl-BE"/>
        </w:rPr>
        <w:br/>
        <w:t>Le Halo est équipé d’un diffuseur circulaire central réglable au design épuré et minimaliste, intégré dans une dalle de plafond. Le Halo est disponible avec un raccordement pour des conduits d’air d’un diamètre de 160 ou 200 mm.</w:t>
      </w:r>
      <w:r w:rsidRPr="00653335">
        <w:rPr>
          <w:rFonts w:ascii="DINOT-Regular" w:hAnsi="DINOT-Regular" w:cs="DINOT-Bold"/>
          <w:color w:val="000000"/>
          <w:sz w:val="20"/>
          <w:lang w:eastAsia="nl-BE"/>
        </w:rPr>
        <w:br/>
        <w:t>En option, un clapet de réglage peut être monté.</w:t>
      </w:r>
    </w:p>
    <w:p w14:paraId="146C9F19" w14:textId="77777777" w:rsidR="005770E2" w:rsidRPr="00CF408A" w:rsidRDefault="005770E2" w:rsidP="005770E2">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N’hésitez pas à nous contacter si vous souhaitez de plus amples informations</w:t>
      </w:r>
    </w:p>
    <w:p w14:paraId="111E89E8" w14:textId="77777777" w:rsidR="000C053D" w:rsidRPr="005770E2" w:rsidRDefault="000C053D" w:rsidP="008C1083">
      <w:pPr>
        <w:autoSpaceDE w:val="0"/>
        <w:autoSpaceDN w:val="0"/>
        <w:adjustRightInd w:val="0"/>
        <w:rPr>
          <w:rFonts w:ascii="DINOT-Regular" w:eastAsia="Times New Roman" w:hAnsi="DINOT-Regular" w:cs="DINOT-Regular"/>
          <w:color w:val="000000"/>
          <w:sz w:val="20"/>
          <w:lang w:eastAsia="nl-BE"/>
        </w:rPr>
      </w:pPr>
    </w:p>
    <w:p w14:paraId="111E89E9" w14:textId="77777777" w:rsidR="008C1083" w:rsidRPr="00EF3B81" w:rsidRDefault="008C1083" w:rsidP="008C1083">
      <w:pPr>
        <w:autoSpaceDE w:val="0"/>
        <w:autoSpaceDN w:val="0"/>
        <w:adjustRightInd w:val="0"/>
        <w:rPr>
          <w:rFonts w:ascii="DINOT-Black" w:eastAsia="Times New Roman" w:hAnsi="DINOT-Black" w:cs="DINOT-Black"/>
          <w:b/>
          <w:bCs/>
          <w:color w:val="000000"/>
          <w:szCs w:val="24"/>
          <w:lang w:val="fr-BE" w:eastAsia="nl-BE"/>
        </w:rPr>
      </w:pPr>
      <w:r w:rsidRPr="00EF3B81">
        <w:rPr>
          <w:rFonts w:ascii="DINOT-Black" w:eastAsia="Times New Roman" w:hAnsi="DINOT-Black" w:cs="DINOT-Black"/>
          <w:b/>
          <w:bCs/>
          <w:color w:val="000000"/>
          <w:szCs w:val="24"/>
          <w:lang w:val="fr-BE" w:eastAsia="nl-BE"/>
        </w:rPr>
        <w:t>X Installation</w:t>
      </w:r>
    </w:p>
    <w:p w14:paraId="111E89EA"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Le plafond doit être installé en conformité avec DIN 18168.</w:t>
      </w:r>
    </w:p>
    <w:p w14:paraId="111E89EB" w14:textId="77777777" w:rsidR="008C1083"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L’acheteur et/ou l’installateur doit veiller à ce que les produits Ceilux soient posés et fixés selon les règles de l’</w:t>
      </w:r>
      <w:r w:rsidR="00F07620" w:rsidRPr="00AF5AB2">
        <w:rPr>
          <w:rFonts w:ascii="DINOT-Regular" w:eastAsia="Times New Roman" w:hAnsi="DINOT-Regular" w:cs="DINOT-Regular"/>
          <w:color w:val="000000"/>
          <w:sz w:val="20"/>
          <w:lang w:val="fr-BE" w:eastAsia="nl-BE"/>
        </w:rPr>
        <w:t xml:space="preserve">art et </w:t>
      </w:r>
      <w:r w:rsidRPr="00AF5AB2">
        <w:rPr>
          <w:rFonts w:ascii="DINOT-Regular" w:eastAsia="Times New Roman" w:hAnsi="DINOT-Regular" w:cs="DINOT-Regular"/>
          <w:color w:val="000000"/>
          <w:sz w:val="20"/>
          <w:lang w:val="fr-BE" w:eastAsia="nl-BE"/>
        </w:rPr>
        <w:t>conformément aux instructions et aux recommandations du vendeur telles qu’elles ressortent notamment du cahier des</w:t>
      </w:r>
      <w:r w:rsidR="00F07620" w:rsidRPr="00AF5AB2">
        <w:rPr>
          <w:rFonts w:ascii="DINOT-Regular" w:eastAsia="Times New Roman" w:hAnsi="DINOT-Regular" w:cs="DINOT-Regular"/>
          <w:color w:val="000000"/>
          <w:sz w:val="20"/>
          <w:lang w:val="fr-BE" w:eastAsia="nl-BE"/>
        </w:rPr>
        <w:t xml:space="preserve"> </w:t>
      </w:r>
      <w:r w:rsidRPr="00AF5AB2">
        <w:rPr>
          <w:rFonts w:ascii="DINOT-Regular" w:eastAsia="Times New Roman" w:hAnsi="DINOT-Regular" w:cs="DINOT-Regular"/>
          <w:color w:val="000000"/>
          <w:sz w:val="20"/>
          <w:lang w:val="fr-BE" w:eastAsia="nl-BE"/>
        </w:rPr>
        <w:t>charges.</w:t>
      </w:r>
    </w:p>
    <w:p w14:paraId="111E89EC" w14:textId="77777777" w:rsidR="00000000" w:rsidRPr="00AF5AB2" w:rsidRDefault="008C1083" w:rsidP="008C1083">
      <w:pPr>
        <w:autoSpaceDE w:val="0"/>
        <w:autoSpaceDN w:val="0"/>
        <w:adjustRightInd w:val="0"/>
        <w:rPr>
          <w:rFonts w:ascii="DINOT-Regular" w:eastAsia="Times New Roman" w:hAnsi="DINOT-Regular" w:cs="DINOT-Regular"/>
          <w:color w:val="000000"/>
          <w:sz w:val="20"/>
          <w:lang w:val="fr-BE" w:eastAsia="nl-BE"/>
        </w:rPr>
      </w:pPr>
      <w:r w:rsidRPr="00AF5AB2">
        <w:rPr>
          <w:rFonts w:ascii="DINOT-Regular" w:eastAsia="Times New Roman" w:hAnsi="DINOT-Regular" w:cs="DINOT-Regular"/>
          <w:color w:val="000000"/>
          <w:sz w:val="20"/>
          <w:lang w:val="fr-BE" w:eastAsia="nl-BE"/>
        </w:rPr>
        <w:t>Ce cahier des charges est sensé connu ou est fourni à la première demande. Si des exigences spécifiques sont définies</w:t>
      </w:r>
      <w:r w:rsidR="00F07620" w:rsidRPr="00AF5AB2">
        <w:rPr>
          <w:rFonts w:ascii="DINOT-Regular" w:eastAsia="Times New Roman" w:hAnsi="DINOT-Regular" w:cs="DINOT-Regular"/>
          <w:color w:val="000000"/>
          <w:sz w:val="20"/>
          <w:lang w:val="fr-BE" w:eastAsia="nl-BE"/>
        </w:rPr>
        <w:t xml:space="preserve"> </w:t>
      </w:r>
      <w:r w:rsidRPr="00AF5AB2">
        <w:rPr>
          <w:rFonts w:ascii="DINOT-Regular" w:eastAsia="Times New Roman" w:hAnsi="DINOT-Regular" w:cs="DINOT-Regular"/>
          <w:color w:val="000000"/>
          <w:sz w:val="20"/>
          <w:lang w:val="fr-BE" w:eastAsia="nl-BE"/>
        </w:rPr>
        <w:t>en matière de fixation, de résistance au feu, etc… le vendeur/l’installateur est tenu de demander un conseil tec</w:t>
      </w:r>
      <w:r w:rsidRPr="00AF5AB2">
        <w:rPr>
          <w:rFonts w:ascii="DINOT-Regular" w:eastAsia="Times New Roman" w:hAnsi="DINOT-Regular" w:cs="DINOT-Regular"/>
          <w:sz w:val="20"/>
          <w:lang w:val="fr-BE" w:eastAsia="nl-BE"/>
        </w:rPr>
        <w:t>hnique préalablement et par écrit à Ceilux, à défaut duquel Ceilux est dégagée de toute responsabilité éventuelle.</w:t>
      </w:r>
    </w:p>
    <w:sectPr w:rsidR="00F166EC" w:rsidRPr="00AF5AB2" w:rsidSect="00664D6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C6FE" w14:textId="77777777" w:rsidR="00835057" w:rsidRDefault="00835057" w:rsidP="00F07620">
      <w:r>
        <w:separator/>
      </w:r>
    </w:p>
  </w:endnote>
  <w:endnote w:type="continuationSeparator" w:id="0">
    <w:p w14:paraId="2CFCC028" w14:textId="77777777" w:rsidR="00835057" w:rsidRDefault="00835057" w:rsidP="00F0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INOT-Black">
    <w:altName w:val="Calibri"/>
    <w:panose1 w:val="00000000000000000000"/>
    <w:charset w:val="00"/>
    <w:family w:val="modern"/>
    <w:notTrueType/>
    <w:pitch w:val="variable"/>
    <w:sig w:usb0="800000AF" w:usb1="4000206A" w:usb2="00000000" w:usb3="00000000" w:csb0="00000001" w:csb1="00000000"/>
  </w:font>
  <w:font w:name="DINOT-Regular">
    <w:altName w:val="Calibri"/>
    <w:charset w:val="00"/>
    <w:family w:val="modern"/>
    <w:notTrueType/>
    <w:pitch w:val="variable"/>
    <w:sig w:usb0="800000AF" w:usb1="4000206A" w:usb2="00000000" w:usb3="00000000" w:csb0="00000001" w:csb1="00000000"/>
  </w:font>
  <w:font w:name="DINOT-Bold">
    <w:charset w:val="00"/>
    <w:family w:val="modern"/>
    <w:notTrueType/>
    <w:pitch w:val="variable"/>
    <w:sig w:usb0="800000AF" w:usb1="4000206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B24B" w14:textId="4C768292" w:rsidR="0041001C" w:rsidRDefault="0041001C" w:rsidP="0041001C">
    <w:pPr>
      <w:pStyle w:val="Voettekst"/>
      <w:rPr>
        <w:rFonts w:ascii="DINOT-Regular" w:hAnsi="DINOT-Regular"/>
        <w:sz w:val="18"/>
        <w:szCs w:val="18"/>
        <w:lang w:val="nl-NL"/>
      </w:rPr>
    </w:pPr>
    <w:r>
      <w:rPr>
        <w:rFonts w:ascii="DINOT-Regular" w:hAnsi="DINOT-Regular"/>
        <w:sz w:val="18"/>
        <w:szCs w:val="18"/>
        <w:lang w:val="nl-NL"/>
      </w:rPr>
      <w:t>………………………………………………………………………………………………………………………………………………………………………………………..…………..……</w:t>
    </w:r>
  </w:p>
  <w:p w14:paraId="29CFA8F6" w14:textId="77777777" w:rsidR="0041001C" w:rsidRPr="00D43288" w:rsidRDefault="0041001C" w:rsidP="0041001C">
    <w:pPr>
      <w:pStyle w:val="Voettekst"/>
      <w:jc w:val="center"/>
      <w:rPr>
        <w:rFonts w:ascii="DINOT-Regular" w:hAnsi="DINOT-Regular"/>
        <w:sz w:val="18"/>
        <w:szCs w:val="18"/>
      </w:rPr>
    </w:pPr>
    <w:r w:rsidRPr="009B516D">
      <w:rPr>
        <w:rFonts w:ascii="DINOT-Regular" w:hAnsi="DINOT-Regular"/>
        <w:sz w:val="18"/>
        <w:szCs w:val="18"/>
        <w:lang w:val="nl-NL"/>
      </w:rPr>
      <w:t>CEILUX NV</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EB2DD4">
      <w:rPr>
        <w:rFonts w:ascii="DINOT-Regular" w:hAnsi="DINOT-Regular"/>
        <w:sz w:val="18"/>
        <w:szCs w:val="18"/>
        <w:lang w:val="nl-BE"/>
      </w:rPr>
      <w:t xml:space="preserve">T +32 (0)55 312 100   .   INFO@CEILUX.COM   .   </w:t>
    </w:r>
    <w:r w:rsidRPr="00934A1D">
      <w:rPr>
        <w:rFonts w:ascii="DINOT-Regular" w:hAnsi="DINOT-Regular"/>
        <w:sz w:val="18"/>
        <w:szCs w:val="18"/>
      </w:rPr>
      <w:t>WWW.CEILUX.COM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D9BB" w14:textId="77777777" w:rsidR="00835057" w:rsidRDefault="00835057" w:rsidP="00F07620">
      <w:r>
        <w:separator/>
      </w:r>
    </w:p>
  </w:footnote>
  <w:footnote w:type="continuationSeparator" w:id="0">
    <w:p w14:paraId="1F50168A" w14:textId="77777777" w:rsidR="00835057" w:rsidRDefault="00835057" w:rsidP="00F0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2927" w14:textId="77777777" w:rsidR="00587B06" w:rsidRPr="00692A08" w:rsidRDefault="00587B06" w:rsidP="00587B06">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196C6CC8" wp14:editId="6F95E6B5">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692A08">
      <w:rPr>
        <w:rFonts w:ascii="DINOT-Regular" w:hAnsi="DINOT-Regular"/>
        <w:sz w:val="18"/>
        <w:szCs w:val="18"/>
        <w:lang w:val="nl-BE"/>
      </w:rPr>
      <w:t>LASTENBOEK</w:t>
    </w:r>
  </w:p>
  <w:p w14:paraId="05E18A7F" w14:textId="77777777" w:rsidR="00587B06" w:rsidRDefault="00587B06" w:rsidP="00587B06">
    <w:pPr>
      <w:pStyle w:val="Koptekst"/>
      <w:spacing w:line="120" w:lineRule="auto"/>
      <w:rPr>
        <w:lang w:val="nl-BE"/>
      </w:rPr>
    </w:pPr>
    <w:r>
      <w:rPr>
        <w:lang w:val="nl-BE"/>
      </w:rPr>
      <w:t>………………………………………………………………………………………………….….</w:t>
    </w:r>
  </w:p>
  <w:p w14:paraId="388AEEFF" w14:textId="1184032A" w:rsidR="00587B06" w:rsidRPr="00692A08" w:rsidRDefault="006C1802" w:rsidP="00587B06">
    <w:pPr>
      <w:pStyle w:val="Koptekst"/>
      <w:tabs>
        <w:tab w:val="clear" w:pos="9072"/>
        <w:tab w:val="left" w:pos="4536"/>
      </w:tabs>
      <w:rPr>
        <w:sz w:val="28"/>
        <w:szCs w:val="28"/>
        <w:lang w:val="nl-BE"/>
      </w:rPr>
    </w:pPr>
    <w:r>
      <w:rPr>
        <w:sz w:val="28"/>
        <w:szCs w:val="28"/>
        <w:lang w:val="nl-BE"/>
      </w:rPr>
      <w:t>SYSTEME LAY-IN</w:t>
    </w:r>
    <w:r w:rsidR="00587B06">
      <w:rPr>
        <w:sz w:val="28"/>
        <w:szCs w:val="28"/>
        <w:lang w:val="nl-BE"/>
      </w:rPr>
      <w:tab/>
    </w:r>
  </w:p>
  <w:p w14:paraId="111E89F1" w14:textId="227C616C" w:rsidR="00F07620" w:rsidRDefault="00F076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D9"/>
    <w:rsid w:val="00011F38"/>
    <w:rsid w:val="0008391C"/>
    <w:rsid w:val="000962BA"/>
    <w:rsid w:val="000C053D"/>
    <w:rsid w:val="000D0284"/>
    <w:rsid w:val="00187C9F"/>
    <w:rsid w:val="00336285"/>
    <w:rsid w:val="003816A8"/>
    <w:rsid w:val="003B1B9D"/>
    <w:rsid w:val="0041001C"/>
    <w:rsid w:val="004513D9"/>
    <w:rsid w:val="004E6565"/>
    <w:rsid w:val="005770E2"/>
    <w:rsid w:val="00587B06"/>
    <w:rsid w:val="005E314A"/>
    <w:rsid w:val="005F08F6"/>
    <w:rsid w:val="00640BB0"/>
    <w:rsid w:val="00664D63"/>
    <w:rsid w:val="006A2A1C"/>
    <w:rsid w:val="006B425B"/>
    <w:rsid w:val="006C1802"/>
    <w:rsid w:val="00825494"/>
    <w:rsid w:val="00835057"/>
    <w:rsid w:val="008C1083"/>
    <w:rsid w:val="00961EDE"/>
    <w:rsid w:val="009D45AC"/>
    <w:rsid w:val="00AF5AB2"/>
    <w:rsid w:val="00B20BDF"/>
    <w:rsid w:val="00C221D9"/>
    <w:rsid w:val="00D5377A"/>
    <w:rsid w:val="00D93F17"/>
    <w:rsid w:val="00DE47AA"/>
    <w:rsid w:val="00EF3B81"/>
    <w:rsid w:val="00F076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8997"/>
  <w15:chartTrackingRefBased/>
  <w15:docId w15:val="{91FE3DCB-7839-425A-BB0C-80D04B14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13D9"/>
    <w:rPr>
      <w:rFonts w:ascii="Verdana" w:eastAsia="Verdana" w:hAnsi="Verdana"/>
      <w:sz w:val="24"/>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957792"/>
    <w:pPr>
      <w:shd w:val="clear" w:color="auto" w:fill="000080"/>
    </w:pPr>
    <w:rPr>
      <w:rFonts w:ascii="Tahoma" w:hAnsi="Tahoma" w:cs="Tahoma"/>
      <w:sz w:val="20"/>
    </w:rPr>
  </w:style>
  <w:style w:type="paragraph" w:styleId="Koptekst">
    <w:name w:val="header"/>
    <w:basedOn w:val="Standaard"/>
    <w:link w:val="KoptekstChar"/>
    <w:unhideWhenUsed/>
    <w:rsid w:val="00F07620"/>
    <w:pPr>
      <w:tabs>
        <w:tab w:val="center" w:pos="4536"/>
        <w:tab w:val="right" w:pos="9072"/>
      </w:tabs>
    </w:pPr>
  </w:style>
  <w:style w:type="character" w:customStyle="1" w:styleId="KoptekstChar">
    <w:name w:val="Koptekst Char"/>
    <w:basedOn w:val="Standaardalinea-lettertype"/>
    <w:link w:val="Koptekst"/>
    <w:rsid w:val="00F07620"/>
    <w:rPr>
      <w:rFonts w:ascii="Verdana" w:eastAsia="Verdana" w:hAnsi="Verdana"/>
      <w:sz w:val="24"/>
      <w:lang w:val="fr-FR" w:eastAsia="nl-NL"/>
    </w:rPr>
  </w:style>
  <w:style w:type="paragraph" w:styleId="Voettekst">
    <w:name w:val="footer"/>
    <w:basedOn w:val="Standaard"/>
    <w:link w:val="VoettekstChar"/>
    <w:unhideWhenUsed/>
    <w:rsid w:val="00F07620"/>
    <w:pPr>
      <w:tabs>
        <w:tab w:val="center" w:pos="4536"/>
        <w:tab w:val="right" w:pos="9072"/>
      </w:tabs>
    </w:pPr>
  </w:style>
  <w:style w:type="character" w:customStyle="1" w:styleId="VoettekstChar">
    <w:name w:val="Voettekst Char"/>
    <w:basedOn w:val="Standaardalinea-lettertype"/>
    <w:link w:val="Voettekst"/>
    <w:rsid w:val="00F07620"/>
    <w:rPr>
      <w:rFonts w:ascii="Verdana" w:eastAsia="Verdana" w:hAnsi="Verdana"/>
      <w:sz w:val="24"/>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4D7FFF-A9AF-4F74-A5FE-2281570CEC8D}">
  <ds:schemaRefs>
    <ds:schemaRef ds:uri="http://schemas.microsoft.com/sharepoint/v3/contenttype/forms"/>
  </ds:schemaRefs>
</ds:datastoreItem>
</file>

<file path=customXml/itemProps2.xml><?xml version="1.0" encoding="utf-8"?>
<ds:datastoreItem xmlns:ds="http://schemas.openxmlformats.org/officeDocument/2006/customXml" ds:itemID="{D1959B5B-269D-4B85-877E-66EFC18AD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E7F50-193A-409D-AB8C-6BA15E6641C1}">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1189</Words>
  <Characters>5997</Characters>
  <Application>Microsoft Office Word</Application>
  <DocSecurity>0</DocSecurity>
  <Lines>113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CAHIER DES CHARGES SYSTÈME LAY-IN  I Système Le système de plafond est composé de profilés encastrés visibles et de panneaux de plafond amovibles avec ou sans modules d'éclairage intégrés</vt:lpstr>
      <vt:lpstr>CAHIER DES CHARGES SYSTÈME LAY-IN  I Système Le système de plafond est composé de profilés encastrés visibles et de panneaux de plafond amovibles avec ou sans modules d'éclairage intégrés</vt:lpstr>
    </vt:vector>
  </TitlesOfParts>
  <Company>CEILUX BVBA</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SYSTÈME LAY-IN  I Système Le système de plafond est composé de profilés encastrés visibles et de panneaux de plafond amovibles avec ou sans modules d'éclairage intégrés</dc:title>
  <dc:subject/>
  <dc:creator>VEERLE</dc:creator>
  <cp:keywords/>
  <dc:description/>
  <cp:lastModifiedBy>Valerie Bekaert - Ceilux</cp:lastModifiedBy>
  <cp:revision>19</cp:revision>
  <dcterms:created xsi:type="dcterms:W3CDTF">2015-01-05T13:18:00Z</dcterms:created>
  <dcterms:modified xsi:type="dcterms:W3CDTF">2026-05-18T11:01:00Z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5" name="docLang">
    <vt:lpwstr>fr</vt:lpwstr>
  </property>
</Properties>
</file>